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BE0548" w:rsidRDefault="00BE0548" w:rsidP="007E0C89">
      <w:pPr>
        <w:spacing w:after="0"/>
      </w:pPr>
    </w:p>
    <w:p w:rsidR="00BE0548" w:rsidRDefault="00BE0548">
      <w:pPr>
        <w:sectPr w:rsidR="00BE0548"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rsidR="00376DB7" w:rsidRDefault="00376DB7" w:rsidP="00376DB7">
      <w:pPr>
        <w:spacing w:after="0" w:line="240" w:lineRule="auto"/>
        <w:ind w:right="48"/>
        <w:jc w:val="center"/>
        <w:rPr>
          <w:rFonts w:ascii="Arial" w:hAnsi="Arial" w:cs="Arial"/>
          <w:b/>
          <w:lang w:val="es-CO"/>
        </w:rPr>
      </w:pPr>
      <w:r>
        <w:rPr>
          <w:rFonts w:ascii="Arial" w:hAnsi="Arial" w:cs="Arial"/>
          <w:b/>
          <w:lang w:val="es-CO"/>
        </w:rPr>
        <w:t>“POR EL CUAL SE ORDENA EL ARCHIVO DE UN TRÁMITE AMBIENTAL Y SE ADOPTAN OTRAS DETERMINACIONES”</w:t>
      </w:r>
    </w:p>
    <w:p w:rsidR="00376DB7" w:rsidRDefault="00376DB7" w:rsidP="00376DB7">
      <w:pPr>
        <w:spacing w:after="0" w:line="240" w:lineRule="auto"/>
        <w:ind w:right="48"/>
        <w:jc w:val="center"/>
        <w:rPr>
          <w:rFonts w:ascii="Arial" w:hAnsi="Arial" w:cs="Arial"/>
          <w:b/>
          <w:lang w:val="es-CO"/>
        </w:rPr>
      </w:pPr>
    </w:p>
    <w:p w:rsidR="00376DB7" w:rsidRDefault="00376DB7" w:rsidP="00376DB7">
      <w:pPr>
        <w:spacing w:after="0" w:line="240" w:lineRule="auto"/>
        <w:ind w:right="48"/>
        <w:jc w:val="center"/>
        <w:rPr>
          <w:rFonts w:ascii="Arial" w:hAnsi="Arial" w:cs="Arial"/>
          <w:b/>
          <w:lang w:val="es-CO"/>
        </w:rPr>
      </w:pPr>
      <w:r>
        <w:rPr>
          <w:rFonts w:ascii="Arial" w:hAnsi="Arial" w:cs="Arial"/>
          <w:b/>
          <w:lang w:val="es-CO"/>
        </w:rPr>
        <w:t>LA SUBDIRECCIÓN DE SILVICULTURA DE LA SECRETARIA DISTRITAL DE AMBIENTE</w:t>
      </w:r>
    </w:p>
    <w:p w:rsidR="00376DB7" w:rsidRDefault="00376DB7" w:rsidP="00376DB7">
      <w:pPr>
        <w:spacing w:after="0" w:line="240" w:lineRule="auto"/>
        <w:ind w:right="48"/>
        <w:jc w:val="both"/>
        <w:rPr>
          <w:rFonts w:ascii="Arial" w:hAnsi="Arial" w:cs="Arial"/>
          <w:shd w:val="clear" w:color="auto" w:fill="FFFFFF"/>
        </w:rPr>
      </w:pPr>
    </w:p>
    <w:p w:rsidR="00FA2DB8" w:rsidRPr="00FA2DB8" w:rsidRDefault="00FA2DB8" w:rsidP="00FA2DB8">
      <w:pPr>
        <w:spacing w:after="0" w:line="240" w:lineRule="auto"/>
        <w:ind w:right="-93"/>
        <w:jc w:val="both"/>
        <w:rPr>
          <w:rFonts w:ascii="Arial" w:eastAsia="Arial" w:hAnsi="Arial" w:cs="Arial"/>
          <w:lang w:eastAsia="es-CO"/>
        </w:rPr>
      </w:pPr>
      <w:r w:rsidRPr="00FA2DB8">
        <w:rPr>
          <w:rFonts w:ascii="Arial" w:eastAsia="Arial" w:hAnsi="Arial" w:cs="Arial"/>
          <w:lang w:eastAsia="es-CO"/>
        </w:rPr>
        <w:t xml:space="preserve">De conformidad con lo dispuesto en la Ley 99 de 1993, el Decreto 1791 de 1996 vigente para la época de los hechos hoy compilado en el Decreto Único Reglamentario 1076 de 2015, los Acuerdos 257 de 2006 y 327 de 2008, </w:t>
      </w:r>
      <w:r>
        <w:rPr>
          <w:rFonts w:ascii="Arial" w:eastAsia="Arial" w:hAnsi="Arial" w:cs="Arial"/>
          <w:lang w:eastAsia="es-CO"/>
        </w:rPr>
        <w:t xml:space="preserve">el </w:t>
      </w:r>
      <w:r w:rsidRPr="00FA2DB8">
        <w:rPr>
          <w:rFonts w:ascii="Arial" w:eastAsia="Arial" w:hAnsi="Arial" w:cs="Arial"/>
          <w:lang w:eastAsia="es-CO"/>
        </w:rPr>
        <w:t xml:space="preserve">Decreto Distrital 509 de 2025 y el Decreto 531 de 2010 modificado y adicionado por el Decreto 383 de 2018, la Resolución 2116 del 2025, Decreto 01 de 1984 - Código Contencioso Administrativo vigente para la época de los hechos derogado por la Ley 1437 de 2011 modificada por la Ley 2080 de 2021, y, </w:t>
      </w:r>
    </w:p>
    <w:p w:rsidR="00376DB7" w:rsidRDefault="00376DB7" w:rsidP="00376DB7">
      <w:pPr>
        <w:spacing w:after="0"/>
        <w:ind w:right="-93"/>
        <w:jc w:val="both"/>
        <w:rPr>
          <w:rFonts w:ascii="Arial" w:hAnsi="Arial" w:cs="Arial"/>
          <w:color w:val="2E74B5" w:themeColor="accent1" w:themeShade="BF"/>
        </w:rPr>
      </w:pPr>
    </w:p>
    <w:p w:rsidR="00376DB7" w:rsidRDefault="00376DB7" w:rsidP="00376DB7">
      <w:pPr>
        <w:spacing w:after="0" w:line="240" w:lineRule="auto"/>
        <w:ind w:right="48"/>
        <w:jc w:val="center"/>
        <w:rPr>
          <w:rFonts w:ascii="Arial" w:hAnsi="Arial" w:cs="Arial"/>
          <w:b/>
        </w:rPr>
      </w:pPr>
      <w:r>
        <w:rPr>
          <w:rFonts w:ascii="Arial" w:hAnsi="Arial" w:cs="Arial"/>
          <w:b/>
        </w:rPr>
        <w:t>CONSIDERANDO</w:t>
      </w:r>
    </w:p>
    <w:p w:rsidR="00376DB7" w:rsidRDefault="00376DB7" w:rsidP="00376DB7">
      <w:pPr>
        <w:spacing w:after="0" w:line="240" w:lineRule="auto"/>
        <w:ind w:right="48"/>
        <w:jc w:val="both"/>
        <w:rPr>
          <w:rFonts w:ascii="Arial" w:hAnsi="Arial" w:cs="Arial"/>
          <w:b/>
        </w:rPr>
      </w:pPr>
    </w:p>
    <w:p w:rsidR="00376DB7" w:rsidRDefault="00376DB7" w:rsidP="00376DB7">
      <w:pPr>
        <w:spacing w:after="0" w:line="240" w:lineRule="auto"/>
        <w:ind w:right="48"/>
        <w:jc w:val="both"/>
        <w:rPr>
          <w:rFonts w:ascii="Arial" w:hAnsi="Arial" w:cs="Arial"/>
          <w:b/>
        </w:rPr>
      </w:pPr>
      <w:r>
        <w:rPr>
          <w:rFonts w:ascii="Arial" w:hAnsi="Arial" w:cs="Arial"/>
          <w:b/>
        </w:rPr>
        <w:t>ANTECEDENTES</w:t>
      </w:r>
    </w:p>
    <w:p w:rsidR="00376DB7" w:rsidRDefault="00376DB7" w:rsidP="00376DB7">
      <w:pPr>
        <w:spacing w:after="0" w:line="240" w:lineRule="auto"/>
        <w:ind w:right="48"/>
        <w:jc w:val="both"/>
        <w:rPr>
          <w:rFonts w:ascii="Arial" w:eastAsia="Times New Roman" w:hAnsi="Arial" w:cs="Arial"/>
          <w:color w:val="7030A0"/>
          <w:lang w:eastAsia="es-CO"/>
        </w:rPr>
      </w:pPr>
    </w:p>
    <w:p w:rsidR="00376DB7" w:rsidRPr="00FA2DB8" w:rsidRDefault="00376DB7" w:rsidP="00376DB7">
      <w:pPr>
        <w:spacing w:after="0" w:line="240" w:lineRule="auto"/>
        <w:ind w:right="48"/>
        <w:jc w:val="both"/>
        <w:rPr>
          <w:rFonts w:ascii="Arial" w:eastAsia="Times New Roman" w:hAnsi="Arial" w:cs="Arial"/>
          <w:bCs/>
          <w:lang w:eastAsia="es-CO"/>
        </w:rPr>
      </w:pPr>
      <w:r>
        <w:rPr>
          <w:rFonts w:ascii="Arial" w:eastAsia="Times New Roman" w:hAnsi="Arial" w:cs="Arial"/>
          <w:lang w:eastAsia="es-CO"/>
        </w:rPr>
        <w:t xml:space="preserve">Que, la Subdirección de Silvicultura de la Secretaría Distrital de Ambiente (SDA), con el objeto de atender el radicado No. </w:t>
      </w:r>
      <w:r w:rsidR="00FA2DB8" w:rsidRPr="00FA2DB8">
        <w:rPr>
          <w:rFonts w:ascii="Arial" w:eastAsia="Times New Roman" w:hAnsi="Arial" w:cs="Arial"/>
          <w:lang w:eastAsia="es-CO"/>
        </w:rPr>
        <w:t>2008ER15176</w:t>
      </w:r>
      <w:r w:rsidR="007B56D3">
        <w:rPr>
          <w:rFonts w:ascii="Arial" w:eastAsia="Times New Roman" w:hAnsi="Arial" w:cs="Arial"/>
          <w:lang w:eastAsia="es-CO"/>
        </w:rPr>
        <w:t xml:space="preserve"> del</w:t>
      </w:r>
      <w:r w:rsidR="00FA2DB8">
        <w:rPr>
          <w:rFonts w:ascii="Arial" w:eastAsia="Times New Roman" w:hAnsi="Arial" w:cs="Arial"/>
          <w:lang w:eastAsia="es-CO"/>
        </w:rPr>
        <w:t xml:space="preserve"> 12 de abril de 2008</w:t>
      </w:r>
      <w:r>
        <w:rPr>
          <w:rFonts w:ascii="Arial" w:eastAsia="Times New Roman" w:hAnsi="Arial" w:cs="Arial"/>
          <w:lang w:eastAsia="es-CO"/>
        </w:rPr>
        <w:t xml:space="preserve">, </w:t>
      </w:r>
      <w:r>
        <w:rPr>
          <w:rFonts w:ascii="Arial" w:eastAsia="Times New Roman" w:hAnsi="Arial" w:cs="Arial"/>
          <w:bCs/>
          <w:lang w:eastAsia="es-CO"/>
        </w:rPr>
        <w:t>emiti</w:t>
      </w:r>
      <w:r w:rsidR="00FA2DB8">
        <w:rPr>
          <w:rFonts w:ascii="Arial" w:eastAsia="Times New Roman" w:hAnsi="Arial" w:cs="Arial"/>
          <w:bCs/>
          <w:lang w:eastAsia="es-CO"/>
        </w:rPr>
        <w:t>ó</w:t>
      </w:r>
      <w:r>
        <w:rPr>
          <w:rFonts w:ascii="Arial" w:eastAsia="Times New Roman" w:hAnsi="Arial" w:cs="Arial"/>
          <w:bCs/>
          <w:lang w:eastAsia="es-CO"/>
        </w:rPr>
        <w:t xml:space="preserve"> para el efecto </w:t>
      </w:r>
      <w:r>
        <w:rPr>
          <w:rFonts w:ascii="Arial" w:eastAsia="Times New Roman" w:hAnsi="Arial" w:cs="Arial"/>
          <w:lang w:eastAsia="es-CO"/>
        </w:rPr>
        <w:t xml:space="preserve">el Concepto técnico No. </w:t>
      </w:r>
      <w:r w:rsidR="00FA2DB8" w:rsidRPr="00FA2DB8">
        <w:rPr>
          <w:rFonts w:ascii="Arial" w:eastAsia="Times New Roman" w:hAnsi="Arial" w:cs="Arial"/>
          <w:lang w:eastAsia="es-CO"/>
        </w:rPr>
        <w:t>2008GTS1247</w:t>
      </w:r>
      <w:r w:rsidR="00FA2DB8">
        <w:rPr>
          <w:rFonts w:ascii="Arial" w:eastAsia="Times New Roman" w:hAnsi="Arial" w:cs="Arial"/>
          <w:lang w:eastAsia="es-CO"/>
        </w:rPr>
        <w:t xml:space="preserve"> del 3 de junio de 2008</w:t>
      </w:r>
      <w:r>
        <w:rPr>
          <w:rFonts w:ascii="Arial" w:eastAsia="Times New Roman" w:hAnsi="Arial" w:cs="Arial"/>
          <w:lang w:eastAsia="es-CO"/>
        </w:rPr>
        <w:t xml:space="preserve">, en el cual se autorizó </w:t>
      </w:r>
      <w:r w:rsidR="007B56D3">
        <w:rPr>
          <w:rFonts w:ascii="Arial" w:eastAsia="Times New Roman" w:hAnsi="Arial" w:cs="Arial"/>
          <w:lang w:eastAsia="es-CO"/>
        </w:rPr>
        <w:t>a</w:t>
      </w:r>
      <w:r w:rsidR="00FA2DB8">
        <w:rPr>
          <w:rFonts w:ascii="Arial" w:eastAsia="Times New Roman" w:hAnsi="Arial" w:cs="Arial"/>
          <w:lang w:eastAsia="es-CO"/>
        </w:rPr>
        <w:t>l</w:t>
      </w:r>
      <w:r w:rsidR="007B56D3">
        <w:rPr>
          <w:rFonts w:ascii="Arial" w:eastAsia="Times New Roman" w:hAnsi="Arial" w:cs="Arial"/>
          <w:lang w:eastAsia="es-CO"/>
        </w:rPr>
        <w:t xml:space="preserve"> </w:t>
      </w:r>
      <w:r w:rsidR="00FA2DB8" w:rsidRPr="00FA2DB8">
        <w:rPr>
          <w:rFonts w:ascii="Arial" w:eastAsia="Times New Roman" w:hAnsi="Arial" w:cs="Arial"/>
          <w:lang w:eastAsia="es-CO"/>
        </w:rPr>
        <w:t>MAYOR CARLOS ALBERTO BENITES ROJAS</w:t>
      </w:r>
      <w:r w:rsidR="00DF057A">
        <w:rPr>
          <w:rFonts w:ascii="Arial" w:eastAsia="Times New Roman" w:hAnsi="Arial" w:cs="Arial"/>
          <w:lang w:eastAsia="es-CO"/>
        </w:rPr>
        <w:t xml:space="preserve"> identificado con cédula de ciudadanía No. </w:t>
      </w:r>
      <w:r w:rsidR="00DF057A" w:rsidRPr="00DF057A">
        <w:rPr>
          <w:rFonts w:ascii="Arial" w:eastAsia="Times New Roman" w:hAnsi="Arial" w:cs="Arial"/>
          <w:lang w:eastAsia="es-CO"/>
        </w:rPr>
        <w:t>93.391.868</w:t>
      </w:r>
      <w:r w:rsidR="00DF057A">
        <w:rPr>
          <w:rFonts w:ascii="Arial" w:eastAsia="Times New Roman" w:hAnsi="Arial" w:cs="Arial"/>
          <w:lang w:eastAsia="es-CO"/>
        </w:rPr>
        <w:t xml:space="preserve">, </w:t>
      </w:r>
      <w:r>
        <w:rPr>
          <w:rFonts w:ascii="Arial" w:eastAsia="Times New Roman" w:hAnsi="Arial" w:cs="Arial"/>
          <w:lang w:eastAsia="es-CO"/>
        </w:rPr>
        <w:t>para que ejecutará el tratamiento silvicultural de</w:t>
      </w:r>
      <w:r w:rsidR="00FA2DB8" w:rsidRPr="00FA2DB8">
        <w:rPr>
          <w:rFonts w:ascii="Arial" w:eastAsia="Times New Roman" w:hAnsi="Arial" w:cs="Arial"/>
          <w:bCs/>
          <w:lang w:eastAsia="es-CO"/>
        </w:rPr>
        <w:t xml:space="preserve"> </w:t>
      </w:r>
      <w:r w:rsidR="00FA2DB8" w:rsidRPr="00FA2DB8">
        <w:rPr>
          <w:rFonts w:ascii="Arial" w:eastAsia="Times New Roman" w:hAnsi="Arial" w:cs="Arial"/>
          <w:b/>
          <w:lang w:eastAsia="es-CO"/>
        </w:rPr>
        <w:t>TALA</w:t>
      </w:r>
      <w:r w:rsidR="00FA2DB8" w:rsidRPr="00FA2DB8">
        <w:rPr>
          <w:rFonts w:ascii="Arial" w:eastAsia="Times New Roman" w:hAnsi="Arial" w:cs="Arial"/>
          <w:bCs/>
          <w:lang w:eastAsia="es-CO"/>
        </w:rPr>
        <w:t xml:space="preserve"> de </w:t>
      </w:r>
      <w:r w:rsidR="00FA2DB8">
        <w:rPr>
          <w:rFonts w:ascii="Arial" w:eastAsia="Times New Roman" w:hAnsi="Arial" w:cs="Arial"/>
          <w:bCs/>
          <w:lang w:eastAsia="es-CO"/>
        </w:rPr>
        <w:t xml:space="preserve">cinco (5) individuos arbóreos </w:t>
      </w:r>
      <w:r w:rsidR="00FA2DB8" w:rsidRPr="00FA2DB8">
        <w:rPr>
          <w:rFonts w:ascii="Arial" w:eastAsia="Times New Roman" w:hAnsi="Arial" w:cs="Arial"/>
          <w:bCs/>
          <w:lang w:eastAsia="es-CO"/>
        </w:rPr>
        <w:t>ubicados en zona verde de lo que hoy se denomina Dirección de Escuelas Policía Nacional</w:t>
      </w:r>
      <w:r w:rsidR="00FA2DB8">
        <w:rPr>
          <w:rFonts w:ascii="Arial" w:eastAsia="Times New Roman" w:hAnsi="Arial" w:cs="Arial"/>
          <w:bCs/>
          <w:lang w:eastAsia="es-CO"/>
        </w:rPr>
        <w:t xml:space="preserve"> – Transversal 33 No. 47 A – 35 Sur de la ciudad de Bogotá D.C. </w:t>
      </w:r>
    </w:p>
    <w:p w:rsidR="00FA2DB8" w:rsidRDefault="00FA2DB8" w:rsidP="00376DB7">
      <w:pPr>
        <w:spacing w:after="0" w:line="240" w:lineRule="auto"/>
        <w:ind w:right="48"/>
        <w:jc w:val="both"/>
        <w:rPr>
          <w:rFonts w:ascii="Arial" w:eastAsia="Times New Roman" w:hAnsi="Arial" w:cs="Arial"/>
          <w:lang w:eastAsia="es-CO"/>
        </w:rPr>
      </w:pPr>
    </w:p>
    <w:p w:rsidR="00376DB7" w:rsidRPr="00AF465B" w:rsidRDefault="00376DB7" w:rsidP="00376DB7">
      <w:pPr>
        <w:spacing w:after="0" w:line="240" w:lineRule="auto"/>
        <w:ind w:right="48"/>
        <w:jc w:val="both"/>
        <w:rPr>
          <w:rFonts w:ascii="Arial" w:eastAsia="Times New Roman" w:hAnsi="Arial" w:cs="Arial"/>
          <w:shd w:val="clear" w:color="auto" w:fill="FFFFFF"/>
          <w:lang w:eastAsia="es-CO"/>
        </w:rPr>
      </w:pPr>
      <w:r w:rsidRPr="00AF465B">
        <w:rPr>
          <w:rFonts w:ascii="Arial" w:eastAsia="Times New Roman" w:hAnsi="Arial" w:cs="Arial"/>
          <w:shd w:val="clear" w:color="auto" w:fill="FFFFFF"/>
          <w:lang w:eastAsia="es-CO"/>
        </w:rPr>
        <w:t xml:space="preserve">Que, como medida de </w:t>
      </w:r>
      <w:r w:rsidRPr="00AF465B">
        <w:rPr>
          <w:rFonts w:ascii="Arial" w:eastAsia="Times New Roman" w:hAnsi="Arial" w:cs="Arial"/>
          <w:b/>
          <w:shd w:val="clear" w:color="auto" w:fill="FFFFFF"/>
          <w:lang w:eastAsia="es-CO"/>
        </w:rPr>
        <w:t>COMPENSACIÓN</w:t>
      </w:r>
      <w:r w:rsidRPr="00AF465B">
        <w:rPr>
          <w:rFonts w:ascii="Arial" w:eastAsia="Times New Roman" w:hAnsi="Arial" w:cs="Arial"/>
          <w:shd w:val="clear" w:color="auto" w:fill="FFFFFF"/>
          <w:lang w:eastAsia="es-CO"/>
        </w:rPr>
        <w:t xml:space="preserve"> por tala de árboles se estableció </w:t>
      </w:r>
      <w:r>
        <w:rPr>
          <w:rFonts w:ascii="Arial" w:eastAsia="Times New Roman" w:hAnsi="Arial" w:cs="Arial"/>
          <w:shd w:val="clear" w:color="auto" w:fill="FFFFFF"/>
          <w:lang w:eastAsia="es-CO"/>
        </w:rPr>
        <w:t xml:space="preserve">la </w:t>
      </w:r>
      <w:r w:rsidR="00F53DF0" w:rsidRPr="00F53DF0">
        <w:rPr>
          <w:rFonts w:ascii="Arial" w:eastAsia="Times New Roman" w:hAnsi="Arial" w:cs="Arial"/>
          <w:b/>
          <w:bCs/>
          <w:shd w:val="clear" w:color="auto" w:fill="FFFFFF"/>
          <w:lang w:eastAsia="es-CO"/>
        </w:rPr>
        <w:t>PLANTACIÓN</w:t>
      </w:r>
      <w:r>
        <w:rPr>
          <w:rFonts w:ascii="Arial" w:eastAsia="Times New Roman" w:hAnsi="Arial" w:cs="Arial"/>
          <w:shd w:val="clear" w:color="auto" w:fill="FFFFFF"/>
          <w:lang w:eastAsia="es-CO"/>
        </w:rPr>
        <w:t xml:space="preserve"> de </w:t>
      </w:r>
      <w:r w:rsidR="00FA2DB8">
        <w:rPr>
          <w:rFonts w:ascii="Arial" w:eastAsia="Times New Roman" w:hAnsi="Arial" w:cs="Arial"/>
          <w:shd w:val="clear" w:color="auto" w:fill="FFFFFF"/>
          <w:lang w:eastAsia="es-CO"/>
        </w:rPr>
        <w:t>7</w:t>
      </w:r>
      <w:r>
        <w:rPr>
          <w:rFonts w:ascii="Arial" w:eastAsia="Times New Roman" w:hAnsi="Arial" w:cs="Arial"/>
          <w:shd w:val="clear" w:color="auto" w:fill="FFFFFF"/>
          <w:lang w:eastAsia="es-CO"/>
        </w:rPr>
        <w:t xml:space="preserve"> individuos arbóreos equivalentes a </w:t>
      </w:r>
      <w:r w:rsidR="00224E94" w:rsidRPr="00224E94">
        <w:rPr>
          <w:rFonts w:ascii="Arial" w:eastAsia="Times New Roman" w:hAnsi="Arial" w:cs="Arial"/>
          <w:shd w:val="clear" w:color="auto" w:fill="FFFFFF"/>
          <w:lang w:eastAsia="es-CO"/>
        </w:rPr>
        <w:t>1.7685</w:t>
      </w:r>
      <w:r w:rsidR="00224E94">
        <w:rPr>
          <w:rFonts w:ascii="Arial" w:eastAsia="Times New Roman" w:hAnsi="Arial" w:cs="Arial"/>
          <w:shd w:val="clear" w:color="auto" w:fill="FFFFFF"/>
          <w:lang w:eastAsia="es-CO"/>
        </w:rPr>
        <w:t xml:space="preserve"> </w:t>
      </w:r>
      <w:r>
        <w:rPr>
          <w:rFonts w:ascii="Arial" w:eastAsia="Times New Roman" w:hAnsi="Arial" w:cs="Arial"/>
          <w:shd w:val="clear" w:color="auto" w:fill="FFFFFF"/>
          <w:lang w:eastAsia="es-CO"/>
        </w:rPr>
        <w:t xml:space="preserve">SMMLV y a </w:t>
      </w:r>
      <w:r w:rsidR="00224E94">
        <w:rPr>
          <w:rFonts w:ascii="Arial" w:eastAsia="Times New Roman" w:hAnsi="Arial" w:cs="Arial"/>
          <w:shd w:val="clear" w:color="auto" w:fill="FFFFFF"/>
          <w:lang w:eastAsia="es-CO"/>
        </w:rPr>
        <w:t xml:space="preserve">OCHOCIENTOS DIECISÉIS MIL CIENTO SESENTA Y DOS PESOS </w:t>
      </w:r>
      <w:r>
        <w:rPr>
          <w:rFonts w:ascii="Arial" w:eastAsia="Times New Roman" w:hAnsi="Arial" w:cs="Arial"/>
          <w:shd w:val="clear" w:color="auto" w:fill="FFFFFF"/>
          <w:lang w:eastAsia="es-CO"/>
        </w:rPr>
        <w:t>(</w:t>
      </w:r>
      <w:r w:rsidRPr="00B409A9">
        <w:rPr>
          <w:rFonts w:ascii="Arial" w:eastAsia="Times New Roman" w:hAnsi="Arial" w:cs="Arial"/>
          <w:shd w:val="clear" w:color="auto" w:fill="FFFFFF"/>
          <w:lang w:eastAsia="es-CO"/>
        </w:rPr>
        <w:t>$</w:t>
      </w:r>
      <w:r w:rsidR="00224E94" w:rsidRPr="00224E94">
        <w:rPr>
          <w:rFonts w:ascii="Arial" w:eastAsia="Times New Roman" w:hAnsi="Arial" w:cs="Arial"/>
          <w:shd w:val="clear" w:color="auto" w:fill="FFFFFF"/>
          <w:lang w:eastAsia="es-CO"/>
        </w:rPr>
        <w:t>816,162</w:t>
      </w:r>
      <w:r w:rsidR="00224E94">
        <w:rPr>
          <w:rFonts w:ascii="Arial" w:eastAsia="Times New Roman" w:hAnsi="Arial" w:cs="Arial"/>
          <w:shd w:val="clear" w:color="auto" w:fill="FFFFFF"/>
          <w:lang w:eastAsia="es-CO"/>
        </w:rPr>
        <w:t xml:space="preserve">) </w:t>
      </w:r>
      <w:r>
        <w:rPr>
          <w:rFonts w:ascii="Arial" w:eastAsia="Times New Roman" w:hAnsi="Arial" w:cs="Arial"/>
          <w:shd w:val="clear" w:color="auto" w:fill="FFFFFF"/>
          <w:lang w:eastAsia="es-CO"/>
        </w:rPr>
        <w:t xml:space="preserve">M/cte. </w:t>
      </w:r>
      <w:r w:rsidRPr="00AF465B">
        <w:rPr>
          <w:rFonts w:ascii="Arial" w:eastAsia="Times New Roman" w:hAnsi="Arial" w:cs="Arial"/>
          <w:shd w:val="clear" w:color="auto" w:fill="FFFFFF"/>
          <w:lang w:eastAsia="es-CO"/>
        </w:rPr>
        <w:t xml:space="preserve">Así mismo, </w:t>
      </w:r>
      <w:r w:rsidR="007B56D3">
        <w:rPr>
          <w:rFonts w:ascii="Arial" w:eastAsia="Times New Roman" w:hAnsi="Arial" w:cs="Arial"/>
          <w:shd w:val="clear" w:color="auto" w:fill="FFFFFF"/>
          <w:lang w:eastAsia="es-CO"/>
        </w:rPr>
        <w:t xml:space="preserve">por concepto de </w:t>
      </w:r>
      <w:r w:rsidR="007B56D3" w:rsidRPr="00F53DF0">
        <w:rPr>
          <w:rFonts w:ascii="Arial" w:eastAsia="Times New Roman" w:hAnsi="Arial" w:cs="Arial"/>
          <w:b/>
          <w:bCs/>
          <w:shd w:val="clear" w:color="auto" w:fill="FFFFFF"/>
          <w:lang w:eastAsia="es-CO"/>
        </w:rPr>
        <w:t>EVALUACIÓN</w:t>
      </w:r>
      <w:r w:rsidR="007B56D3">
        <w:rPr>
          <w:rFonts w:ascii="Arial" w:eastAsia="Times New Roman" w:hAnsi="Arial" w:cs="Arial"/>
          <w:shd w:val="clear" w:color="auto" w:fill="FFFFFF"/>
          <w:lang w:eastAsia="es-CO"/>
        </w:rPr>
        <w:t xml:space="preserve"> </w:t>
      </w:r>
      <w:r w:rsidR="00F53DF0">
        <w:rPr>
          <w:rFonts w:ascii="Arial" w:eastAsia="Times New Roman" w:hAnsi="Arial" w:cs="Arial"/>
          <w:shd w:val="clear" w:color="auto" w:fill="FFFFFF"/>
          <w:lang w:eastAsia="es-CO"/>
        </w:rPr>
        <w:t xml:space="preserve">se estableció </w:t>
      </w:r>
      <w:r w:rsidR="007B56D3">
        <w:rPr>
          <w:rFonts w:ascii="Arial" w:eastAsia="Times New Roman" w:hAnsi="Arial" w:cs="Arial"/>
          <w:shd w:val="clear" w:color="auto" w:fill="FFFFFF"/>
          <w:lang w:eastAsia="es-CO"/>
        </w:rPr>
        <w:t xml:space="preserve">la suma de </w:t>
      </w:r>
      <w:r w:rsidR="00224E94">
        <w:rPr>
          <w:rFonts w:ascii="Arial" w:eastAsia="Times New Roman" w:hAnsi="Arial" w:cs="Arial"/>
          <w:shd w:val="clear" w:color="auto" w:fill="FFFFFF"/>
          <w:lang w:eastAsia="es-CO"/>
        </w:rPr>
        <w:t xml:space="preserve">VEINTI DOS MIL </w:t>
      </w:r>
      <w:r w:rsidR="007B56D3">
        <w:rPr>
          <w:rFonts w:ascii="Arial" w:eastAsia="Times New Roman" w:hAnsi="Arial" w:cs="Arial"/>
          <w:shd w:val="clear" w:color="auto" w:fill="FFFFFF"/>
          <w:lang w:eastAsia="es-CO"/>
        </w:rPr>
        <w:t>PESOS ($</w:t>
      </w:r>
      <w:r w:rsidR="00224E94" w:rsidRPr="00224E94">
        <w:rPr>
          <w:rFonts w:ascii="Arial" w:eastAsia="Times New Roman" w:hAnsi="Arial" w:cs="Arial"/>
          <w:shd w:val="clear" w:color="auto" w:fill="FFFFFF"/>
          <w:lang w:eastAsia="es-CO"/>
        </w:rPr>
        <w:t>22.200</w:t>
      </w:r>
      <w:r w:rsidR="007B56D3">
        <w:rPr>
          <w:rFonts w:ascii="Arial" w:eastAsia="Times New Roman" w:hAnsi="Arial" w:cs="Arial"/>
          <w:shd w:val="clear" w:color="auto" w:fill="FFFFFF"/>
          <w:lang w:eastAsia="es-CO"/>
        </w:rPr>
        <w:t>) M/cte.</w:t>
      </w:r>
    </w:p>
    <w:p w:rsidR="00376DB7" w:rsidRDefault="00376DB7" w:rsidP="00376DB7">
      <w:pPr>
        <w:spacing w:after="0" w:line="240" w:lineRule="auto"/>
        <w:ind w:right="48"/>
        <w:jc w:val="both"/>
        <w:rPr>
          <w:rFonts w:ascii="Arial" w:eastAsia="Times New Roman" w:hAnsi="Arial" w:cs="Arial"/>
          <w:shd w:val="clear" w:color="auto" w:fill="FFFFFF"/>
          <w:lang w:eastAsia="es-CO"/>
        </w:rPr>
      </w:pPr>
    </w:p>
    <w:p w:rsidR="006B3E72" w:rsidRPr="006B3E72" w:rsidRDefault="006B3E72" w:rsidP="006B3E72">
      <w:pPr>
        <w:spacing w:after="0" w:line="240" w:lineRule="auto"/>
        <w:ind w:right="48"/>
        <w:jc w:val="both"/>
        <w:rPr>
          <w:rFonts w:ascii="Arial" w:eastAsia="Times New Roman" w:hAnsi="Arial" w:cs="Arial"/>
          <w:bCs/>
          <w:shd w:val="clear" w:color="auto" w:fill="FFFFFF"/>
          <w:lang w:eastAsia="es-CO"/>
        </w:rPr>
      </w:pPr>
      <w:r w:rsidRPr="006B3E72">
        <w:rPr>
          <w:rFonts w:ascii="Arial" w:eastAsia="Times New Roman" w:hAnsi="Arial" w:cs="Arial"/>
          <w:bCs/>
          <w:shd w:val="clear" w:color="auto" w:fill="FFFFFF"/>
          <w:lang w:eastAsia="es-CO"/>
        </w:rPr>
        <w:t>Que, con el objeto de realizar seguimiento a la plantación, se realizó visita el</w:t>
      </w:r>
      <w:r>
        <w:rPr>
          <w:rFonts w:ascii="Arial" w:eastAsia="Times New Roman" w:hAnsi="Arial" w:cs="Arial"/>
          <w:bCs/>
          <w:shd w:val="clear" w:color="auto" w:fill="FFFFFF"/>
          <w:lang w:eastAsia="es-CO"/>
        </w:rPr>
        <w:t xml:space="preserve"> </w:t>
      </w:r>
      <w:r w:rsidR="00224E94">
        <w:rPr>
          <w:rFonts w:ascii="Arial" w:eastAsia="Times New Roman" w:hAnsi="Arial" w:cs="Arial"/>
          <w:bCs/>
          <w:shd w:val="clear" w:color="auto" w:fill="FFFFFF"/>
          <w:lang w:eastAsia="es-CO"/>
        </w:rPr>
        <w:t xml:space="preserve">29 de junio </w:t>
      </w:r>
      <w:r>
        <w:rPr>
          <w:rFonts w:ascii="Arial" w:eastAsia="Times New Roman" w:hAnsi="Arial" w:cs="Arial"/>
          <w:bCs/>
          <w:shd w:val="clear" w:color="auto" w:fill="FFFFFF"/>
          <w:lang w:eastAsia="es-CO"/>
        </w:rPr>
        <w:t>de 2022</w:t>
      </w:r>
      <w:r w:rsidRPr="006B3E72">
        <w:rPr>
          <w:rFonts w:ascii="Arial" w:eastAsia="Times New Roman" w:hAnsi="Arial" w:cs="Arial"/>
          <w:bCs/>
          <w:shd w:val="clear" w:color="auto" w:fill="FFFFFF"/>
          <w:lang w:eastAsia="es-CO"/>
        </w:rPr>
        <w:t xml:space="preserve">, emitiendo el Concepto Técnico de Seguimiento a la plantación No. </w:t>
      </w:r>
      <w:r w:rsidR="00224E94">
        <w:rPr>
          <w:rFonts w:ascii="Arial" w:eastAsia="Times New Roman" w:hAnsi="Arial" w:cs="Arial"/>
          <w:bCs/>
          <w:shd w:val="clear" w:color="auto" w:fill="FFFFFF"/>
          <w:lang w:eastAsia="es-CO"/>
        </w:rPr>
        <w:t xml:space="preserve">12818 del 26 de octubre </w:t>
      </w:r>
      <w:r w:rsidRPr="006B3E72">
        <w:rPr>
          <w:rFonts w:ascii="Arial" w:eastAsia="Times New Roman" w:hAnsi="Arial" w:cs="Arial"/>
          <w:bCs/>
          <w:shd w:val="clear" w:color="auto" w:fill="FFFFFF"/>
          <w:lang w:eastAsia="es-CO"/>
        </w:rPr>
        <w:t>de 2022, el cual establece lo siguiente:</w:t>
      </w:r>
    </w:p>
    <w:p w:rsidR="00376DB7" w:rsidRDefault="00376DB7" w:rsidP="00376DB7">
      <w:pPr>
        <w:spacing w:after="0" w:line="240" w:lineRule="auto"/>
        <w:ind w:right="48"/>
        <w:jc w:val="both"/>
        <w:rPr>
          <w:rFonts w:ascii="Arial" w:eastAsia="Times New Roman" w:hAnsi="Arial" w:cs="Arial"/>
          <w:shd w:val="clear" w:color="auto" w:fill="FFFFFF"/>
          <w:lang w:eastAsia="es-CO"/>
        </w:rPr>
      </w:pPr>
    </w:p>
    <w:p w:rsidR="00376DB7" w:rsidRDefault="00376DB7" w:rsidP="006B3E72">
      <w:pPr>
        <w:spacing w:after="0" w:line="240" w:lineRule="auto"/>
        <w:ind w:left="567" w:right="567"/>
        <w:jc w:val="both"/>
        <w:rPr>
          <w:rFonts w:ascii="Arial" w:eastAsia="Times New Roman" w:hAnsi="Arial" w:cs="Arial"/>
          <w:i/>
          <w:iCs/>
          <w:shd w:val="clear" w:color="auto" w:fill="FFFFFF"/>
          <w:lang w:eastAsia="es-CO"/>
        </w:rPr>
      </w:pPr>
      <w:r>
        <w:rPr>
          <w:rFonts w:ascii="Arial" w:eastAsia="Times New Roman" w:hAnsi="Arial" w:cs="Arial"/>
          <w:i/>
          <w:iCs/>
          <w:shd w:val="clear" w:color="auto" w:fill="FFFFFF"/>
          <w:lang w:eastAsia="es-CO"/>
        </w:rPr>
        <w:t>“</w:t>
      </w:r>
      <w:r w:rsidR="00224E94" w:rsidRPr="00224E94">
        <w:rPr>
          <w:rFonts w:ascii="Arial" w:eastAsia="Times New Roman" w:hAnsi="Arial" w:cs="Arial"/>
          <w:i/>
          <w:iCs/>
          <w:shd w:val="clear" w:color="auto" w:fill="FFFFFF"/>
          <w:lang w:eastAsia="es-CO"/>
        </w:rPr>
        <w:t>Mediante el recorrido realizado en la visita se encontraron siete (7) individuos de la especie de Liquidámbar (Liquidámbar styraciflua), en buen estado y con podas de control de altura y de mantenimiento.</w:t>
      </w:r>
    </w:p>
    <w:tbl>
      <w:tblPr>
        <w:tblStyle w:val="Tablaconcuadrcula"/>
        <w:tblW w:w="8222" w:type="dxa"/>
        <w:tblInd w:w="562" w:type="dxa"/>
        <w:tblLayout w:type="fixed"/>
        <w:tblLook w:val="04A0" w:firstRow="1" w:lastRow="0" w:firstColumn="1" w:lastColumn="0" w:noHBand="0" w:noVBand="1"/>
      </w:tblPr>
      <w:tblGrid>
        <w:gridCol w:w="2989"/>
        <w:gridCol w:w="2965"/>
        <w:gridCol w:w="2268"/>
      </w:tblGrid>
      <w:tr w:rsidR="00224E94" w:rsidTr="00224E94">
        <w:tc>
          <w:tcPr>
            <w:tcW w:w="2989" w:type="dxa"/>
            <w:tcBorders>
              <w:top w:val="single" w:sz="4" w:space="0" w:color="auto"/>
              <w:left w:val="single" w:sz="4" w:space="0" w:color="auto"/>
              <w:bottom w:val="single" w:sz="4" w:space="0" w:color="auto"/>
              <w:right w:val="single" w:sz="4" w:space="0" w:color="auto"/>
            </w:tcBorders>
            <w:hideMark/>
          </w:tcPr>
          <w:p w:rsidR="00224E94" w:rsidRDefault="00224E94">
            <w:pPr>
              <w:spacing w:after="0" w:line="240" w:lineRule="auto"/>
              <w:jc w:val="both"/>
              <w:rPr>
                <w:rFonts w:ascii="Arial" w:hAnsi="Arial" w:cs="Arial"/>
                <w:sz w:val="20"/>
                <w:szCs w:val="20"/>
              </w:rPr>
            </w:pPr>
            <w:r>
              <w:rPr>
                <w:rFonts w:ascii="Arial" w:hAnsi="Arial" w:cs="Arial"/>
                <w:sz w:val="20"/>
                <w:szCs w:val="20"/>
              </w:rPr>
              <w:t>ESPECIE</w:t>
            </w:r>
          </w:p>
        </w:tc>
        <w:tc>
          <w:tcPr>
            <w:tcW w:w="2965" w:type="dxa"/>
            <w:tcBorders>
              <w:top w:val="single" w:sz="4" w:space="0" w:color="auto"/>
              <w:left w:val="single" w:sz="4" w:space="0" w:color="auto"/>
              <w:bottom w:val="single" w:sz="4" w:space="0" w:color="auto"/>
              <w:right w:val="single" w:sz="4" w:space="0" w:color="auto"/>
            </w:tcBorders>
            <w:hideMark/>
          </w:tcPr>
          <w:p w:rsidR="00224E94" w:rsidRPr="00224E94" w:rsidRDefault="00224E94">
            <w:pPr>
              <w:spacing w:after="0" w:line="240" w:lineRule="auto"/>
              <w:jc w:val="both"/>
              <w:rPr>
                <w:rFonts w:ascii="Arial" w:hAnsi="Arial" w:cs="Arial"/>
                <w:i/>
                <w:iCs/>
                <w:sz w:val="20"/>
                <w:szCs w:val="20"/>
              </w:rPr>
            </w:pPr>
            <w:r w:rsidRPr="00224E94">
              <w:rPr>
                <w:rFonts w:ascii="Arial" w:hAnsi="Arial" w:cs="Arial"/>
                <w:i/>
                <w:iCs/>
                <w:sz w:val="20"/>
                <w:szCs w:val="20"/>
              </w:rPr>
              <w:t>LATITUD</w:t>
            </w:r>
          </w:p>
        </w:tc>
        <w:tc>
          <w:tcPr>
            <w:tcW w:w="2268" w:type="dxa"/>
            <w:tcBorders>
              <w:top w:val="single" w:sz="4" w:space="0" w:color="auto"/>
              <w:left w:val="single" w:sz="4" w:space="0" w:color="auto"/>
              <w:bottom w:val="single" w:sz="4" w:space="0" w:color="auto"/>
              <w:right w:val="single" w:sz="4" w:space="0" w:color="auto"/>
            </w:tcBorders>
            <w:hideMark/>
          </w:tcPr>
          <w:p w:rsidR="00224E94" w:rsidRPr="00224E94" w:rsidRDefault="00224E94">
            <w:pPr>
              <w:spacing w:after="0" w:line="240" w:lineRule="auto"/>
              <w:jc w:val="both"/>
              <w:rPr>
                <w:rFonts w:ascii="Arial" w:hAnsi="Arial" w:cs="Arial"/>
                <w:i/>
                <w:iCs/>
                <w:sz w:val="20"/>
                <w:szCs w:val="20"/>
              </w:rPr>
            </w:pPr>
            <w:r w:rsidRPr="00224E94">
              <w:rPr>
                <w:rFonts w:ascii="Arial" w:hAnsi="Arial" w:cs="Arial"/>
                <w:i/>
                <w:iCs/>
                <w:sz w:val="20"/>
                <w:szCs w:val="20"/>
              </w:rPr>
              <w:t>LONGITUD</w:t>
            </w:r>
          </w:p>
        </w:tc>
      </w:tr>
      <w:tr w:rsidR="00224E94" w:rsidTr="00224E94">
        <w:tc>
          <w:tcPr>
            <w:tcW w:w="2989" w:type="dxa"/>
            <w:tcBorders>
              <w:top w:val="single" w:sz="4" w:space="0" w:color="auto"/>
              <w:left w:val="single" w:sz="4" w:space="0" w:color="auto"/>
              <w:bottom w:val="single" w:sz="4" w:space="0" w:color="auto"/>
              <w:right w:val="single" w:sz="4" w:space="0" w:color="auto"/>
            </w:tcBorders>
            <w:hideMark/>
          </w:tcPr>
          <w:p w:rsidR="00224E94" w:rsidRDefault="00224E94">
            <w:pPr>
              <w:spacing w:after="0" w:line="240" w:lineRule="auto"/>
              <w:jc w:val="both"/>
              <w:rPr>
                <w:rFonts w:ascii="Arial" w:hAnsi="Arial" w:cs="Arial"/>
                <w:sz w:val="20"/>
                <w:szCs w:val="20"/>
              </w:rPr>
            </w:pPr>
            <w:r>
              <w:rPr>
                <w:rFonts w:ascii="Arial" w:hAnsi="Arial" w:cs="Arial"/>
                <w:i/>
                <w:sz w:val="20"/>
                <w:szCs w:val="20"/>
              </w:rPr>
              <w:t>Liquidámbar styraciflua</w:t>
            </w:r>
          </w:p>
        </w:tc>
        <w:tc>
          <w:tcPr>
            <w:tcW w:w="2965" w:type="dxa"/>
            <w:tcBorders>
              <w:top w:val="single" w:sz="4" w:space="0" w:color="auto"/>
              <w:left w:val="single" w:sz="4" w:space="0" w:color="auto"/>
              <w:bottom w:val="single" w:sz="4" w:space="0" w:color="auto"/>
              <w:right w:val="single" w:sz="4" w:space="0" w:color="auto"/>
            </w:tcBorders>
            <w:hideMark/>
          </w:tcPr>
          <w:p w:rsidR="00224E94" w:rsidRPr="00224E94" w:rsidRDefault="00224E94">
            <w:pPr>
              <w:spacing w:after="0" w:line="240" w:lineRule="auto"/>
              <w:jc w:val="both"/>
              <w:rPr>
                <w:rFonts w:ascii="Arial" w:hAnsi="Arial" w:cs="Arial"/>
                <w:i/>
                <w:iCs/>
                <w:sz w:val="20"/>
                <w:szCs w:val="20"/>
              </w:rPr>
            </w:pPr>
            <w:r w:rsidRPr="00224E94">
              <w:rPr>
                <w:rFonts w:ascii="Arial" w:hAnsi="Arial" w:cs="Arial"/>
                <w:i/>
                <w:iCs/>
                <w:sz w:val="20"/>
                <w:szCs w:val="20"/>
              </w:rPr>
              <w:t>4° 35´11.316”</w:t>
            </w:r>
          </w:p>
        </w:tc>
        <w:tc>
          <w:tcPr>
            <w:tcW w:w="2268" w:type="dxa"/>
            <w:tcBorders>
              <w:top w:val="single" w:sz="4" w:space="0" w:color="auto"/>
              <w:left w:val="single" w:sz="4" w:space="0" w:color="auto"/>
              <w:bottom w:val="single" w:sz="4" w:space="0" w:color="auto"/>
              <w:right w:val="single" w:sz="4" w:space="0" w:color="auto"/>
            </w:tcBorders>
            <w:hideMark/>
          </w:tcPr>
          <w:p w:rsidR="00224E94" w:rsidRPr="00224E94" w:rsidRDefault="00224E94" w:rsidP="00224E94">
            <w:pPr>
              <w:pStyle w:val="Prrafodelista"/>
              <w:numPr>
                <w:ilvl w:val="0"/>
                <w:numId w:val="2"/>
              </w:numPr>
              <w:spacing w:after="0" w:line="240" w:lineRule="auto"/>
              <w:jc w:val="both"/>
              <w:rPr>
                <w:rFonts w:ascii="Arial" w:hAnsi="Arial" w:cs="Arial"/>
                <w:i/>
                <w:iCs/>
                <w:sz w:val="20"/>
                <w:szCs w:val="20"/>
              </w:rPr>
            </w:pPr>
            <w:r w:rsidRPr="00224E94">
              <w:rPr>
                <w:rFonts w:ascii="Arial" w:hAnsi="Arial" w:cs="Arial"/>
                <w:i/>
                <w:iCs/>
                <w:sz w:val="20"/>
                <w:szCs w:val="20"/>
              </w:rPr>
              <w:t>74° 7´47.04”</w:t>
            </w:r>
          </w:p>
        </w:tc>
      </w:tr>
      <w:tr w:rsidR="00224E94" w:rsidTr="00224E94">
        <w:tc>
          <w:tcPr>
            <w:tcW w:w="2989" w:type="dxa"/>
            <w:tcBorders>
              <w:top w:val="single" w:sz="4" w:space="0" w:color="auto"/>
              <w:left w:val="single" w:sz="4" w:space="0" w:color="auto"/>
              <w:bottom w:val="single" w:sz="4" w:space="0" w:color="auto"/>
              <w:right w:val="single" w:sz="4" w:space="0" w:color="auto"/>
            </w:tcBorders>
            <w:hideMark/>
          </w:tcPr>
          <w:p w:rsidR="00224E94" w:rsidRDefault="00224E94">
            <w:pPr>
              <w:spacing w:after="0" w:line="240" w:lineRule="auto"/>
              <w:jc w:val="both"/>
              <w:rPr>
                <w:rFonts w:ascii="Arial" w:hAnsi="Arial" w:cs="Arial"/>
                <w:sz w:val="20"/>
                <w:szCs w:val="20"/>
              </w:rPr>
            </w:pPr>
            <w:r>
              <w:rPr>
                <w:rFonts w:ascii="Arial" w:hAnsi="Arial" w:cs="Arial"/>
                <w:i/>
                <w:sz w:val="20"/>
                <w:szCs w:val="20"/>
              </w:rPr>
              <w:t>Liquidámbar styraciflua</w:t>
            </w:r>
          </w:p>
        </w:tc>
        <w:tc>
          <w:tcPr>
            <w:tcW w:w="2965" w:type="dxa"/>
            <w:tcBorders>
              <w:top w:val="single" w:sz="4" w:space="0" w:color="auto"/>
              <w:left w:val="single" w:sz="4" w:space="0" w:color="auto"/>
              <w:bottom w:val="single" w:sz="4" w:space="0" w:color="auto"/>
              <w:right w:val="single" w:sz="4" w:space="0" w:color="auto"/>
            </w:tcBorders>
            <w:hideMark/>
          </w:tcPr>
          <w:p w:rsidR="00224E94" w:rsidRPr="00224E94" w:rsidRDefault="00224E94">
            <w:pPr>
              <w:spacing w:after="0" w:line="240" w:lineRule="auto"/>
              <w:jc w:val="both"/>
              <w:rPr>
                <w:rFonts w:ascii="Arial" w:hAnsi="Arial" w:cs="Arial"/>
                <w:i/>
                <w:iCs/>
                <w:sz w:val="20"/>
                <w:szCs w:val="20"/>
              </w:rPr>
            </w:pPr>
            <w:r w:rsidRPr="00224E94">
              <w:rPr>
                <w:rFonts w:ascii="Arial" w:hAnsi="Arial" w:cs="Arial"/>
                <w:i/>
                <w:iCs/>
                <w:sz w:val="20"/>
                <w:szCs w:val="20"/>
              </w:rPr>
              <w:t>4° 35´11.598”</w:t>
            </w:r>
          </w:p>
        </w:tc>
        <w:tc>
          <w:tcPr>
            <w:tcW w:w="2268" w:type="dxa"/>
            <w:tcBorders>
              <w:top w:val="single" w:sz="4" w:space="0" w:color="auto"/>
              <w:left w:val="single" w:sz="4" w:space="0" w:color="auto"/>
              <w:bottom w:val="single" w:sz="4" w:space="0" w:color="auto"/>
              <w:right w:val="single" w:sz="4" w:space="0" w:color="auto"/>
            </w:tcBorders>
            <w:hideMark/>
          </w:tcPr>
          <w:p w:rsidR="00224E94" w:rsidRPr="00224E94" w:rsidRDefault="00224E94" w:rsidP="00224E94">
            <w:pPr>
              <w:pStyle w:val="Prrafodelista"/>
              <w:numPr>
                <w:ilvl w:val="0"/>
                <w:numId w:val="2"/>
              </w:numPr>
              <w:spacing w:after="0" w:line="240" w:lineRule="auto"/>
              <w:jc w:val="both"/>
              <w:rPr>
                <w:rFonts w:ascii="Arial" w:hAnsi="Arial" w:cs="Arial"/>
                <w:i/>
                <w:iCs/>
                <w:sz w:val="20"/>
                <w:szCs w:val="20"/>
              </w:rPr>
            </w:pPr>
            <w:r w:rsidRPr="00224E94">
              <w:rPr>
                <w:rFonts w:ascii="Arial" w:hAnsi="Arial" w:cs="Arial"/>
                <w:i/>
                <w:iCs/>
                <w:sz w:val="20"/>
                <w:szCs w:val="20"/>
              </w:rPr>
              <w:t>74° 7´47.052”</w:t>
            </w:r>
          </w:p>
        </w:tc>
      </w:tr>
      <w:tr w:rsidR="00224E94" w:rsidTr="00224E94">
        <w:tc>
          <w:tcPr>
            <w:tcW w:w="2989" w:type="dxa"/>
            <w:tcBorders>
              <w:top w:val="single" w:sz="4" w:space="0" w:color="auto"/>
              <w:left w:val="single" w:sz="4" w:space="0" w:color="auto"/>
              <w:bottom w:val="single" w:sz="4" w:space="0" w:color="auto"/>
              <w:right w:val="single" w:sz="4" w:space="0" w:color="auto"/>
            </w:tcBorders>
            <w:hideMark/>
          </w:tcPr>
          <w:p w:rsidR="00224E94" w:rsidRDefault="00224E94">
            <w:pPr>
              <w:spacing w:after="0" w:line="240" w:lineRule="auto"/>
              <w:jc w:val="both"/>
              <w:rPr>
                <w:rFonts w:ascii="Arial" w:hAnsi="Arial" w:cs="Arial"/>
                <w:sz w:val="20"/>
                <w:szCs w:val="20"/>
              </w:rPr>
            </w:pPr>
            <w:r>
              <w:rPr>
                <w:rFonts w:ascii="Arial" w:hAnsi="Arial" w:cs="Arial"/>
                <w:i/>
                <w:sz w:val="20"/>
                <w:szCs w:val="20"/>
              </w:rPr>
              <w:t>Liquidámbar styraciflua</w:t>
            </w:r>
          </w:p>
        </w:tc>
        <w:tc>
          <w:tcPr>
            <w:tcW w:w="2965" w:type="dxa"/>
            <w:tcBorders>
              <w:top w:val="single" w:sz="4" w:space="0" w:color="auto"/>
              <w:left w:val="single" w:sz="4" w:space="0" w:color="auto"/>
              <w:bottom w:val="single" w:sz="4" w:space="0" w:color="auto"/>
              <w:right w:val="single" w:sz="4" w:space="0" w:color="auto"/>
            </w:tcBorders>
            <w:hideMark/>
          </w:tcPr>
          <w:p w:rsidR="00224E94" w:rsidRPr="00224E94" w:rsidRDefault="00224E94">
            <w:pPr>
              <w:spacing w:after="0" w:line="240" w:lineRule="auto"/>
              <w:jc w:val="both"/>
              <w:rPr>
                <w:rFonts w:ascii="Arial" w:hAnsi="Arial" w:cs="Arial"/>
                <w:i/>
                <w:iCs/>
                <w:sz w:val="20"/>
                <w:szCs w:val="20"/>
              </w:rPr>
            </w:pPr>
            <w:r w:rsidRPr="00224E94">
              <w:rPr>
                <w:rFonts w:ascii="Arial" w:hAnsi="Arial" w:cs="Arial"/>
                <w:i/>
                <w:iCs/>
                <w:sz w:val="20"/>
                <w:szCs w:val="20"/>
              </w:rPr>
              <w:t>4° 35´11.286”</w:t>
            </w:r>
          </w:p>
        </w:tc>
        <w:tc>
          <w:tcPr>
            <w:tcW w:w="2268" w:type="dxa"/>
            <w:tcBorders>
              <w:top w:val="single" w:sz="4" w:space="0" w:color="auto"/>
              <w:left w:val="single" w:sz="4" w:space="0" w:color="auto"/>
              <w:bottom w:val="single" w:sz="4" w:space="0" w:color="auto"/>
              <w:right w:val="single" w:sz="4" w:space="0" w:color="auto"/>
            </w:tcBorders>
            <w:hideMark/>
          </w:tcPr>
          <w:p w:rsidR="00224E94" w:rsidRPr="00224E94" w:rsidRDefault="00224E94" w:rsidP="00224E94">
            <w:pPr>
              <w:pStyle w:val="Prrafodelista"/>
              <w:numPr>
                <w:ilvl w:val="0"/>
                <w:numId w:val="2"/>
              </w:numPr>
              <w:spacing w:after="0" w:line="240" w:lineRule="auto"/>
              <w:jc w:val="both"/>
              <w:rPr>
                <w:rFonts w:ascii="Arial" w:hAnsi="Arial" w:cs="Arial"/>
                <w:i/>
                <w:iCs/>
                <w:sz w:val="20"/>
                <w:szCs w:val="20"/>
              </w:rPr>
            </w:pPr>
            <w:r w:rsidRPr="00224E94">
              <w:rPr>
                <w:rFonts w:ascii="Arial" w:hAnsi="Arial" w:cs="Arial"/>
                <w:i/>
                <w:iCs/>
                <w:sz w:val="20"/>
                <w:szCs w:val="20"/>
              </w:rPr>
              <w:t>74° 7´47.118</w:t>
            </w:r>
          </w:p>
        </w:tc>
      </w:tr>
      <w:tr w:rsidR="00224E94" w:rsidTr="00224E94">
        <w:tc>
          <w:tcPr>
            <w:tcW w:w="2989" w:type="dxa"/>
            <w:tcBorders>
              <w:top w:val="single" w:sz="4" w:space="0" w:color="auto"/>
              <w:left w:val="single" w:sz="4" w:space="0" w:color="auto"/>
              <w:bottom w:val="single" w:sz="4" w:space="0" w:color="auto"/>
              <w:right w:val="single" w:sz="4" w:space="0" w:color="auto"/>
            </w:tcBorders>
            <w:hideMark/>
          </w:tcPr>
          <w:p w:rsidR="00224E94" w:rsidRDefault="00224E94">
            <w:pPr>
              <w:spacing w:after="0" w:line="240" w:lineRule="auto"/>
              <w:jc w:val="both"/>
              <w:rPr>
                <w:rFonts w:ascii="Arial" w:hAnsi="Arial" w:cs="Arial"/>
                <w:i/>
                <w:sz w:val="20"/>
                <w:szCs w:val="20"/>
              </w:rPr>
            </w:pPr>
            <w:r>
              <w:rPr>
                <w:rFonts w:ascii="Arial" w:hAnsi="Arial" w:cs="Arial"/>
                <w:i/>
                <w:sz w:val="20"/>
                <w:szCs w:val="20"/>
              </w:rPr>
              <w:t>Liquidámbar styraciflua</w:t>
            </w:r>
          </w:p>
        </w:tc>
        <w:tc>
          <w:tcPr>
            <w:tcW w:w="2965" w:type="dxa"/>
            <w:tcBorders>
              <w:top w:val="single" w:sz="4" w:space="0" w:color="auto"/>
              <w:left w:val="single" w:sz="4" w:space="0" w:color="auto"/>
              <w:bottom w:val="single" w:sz="4" w:space="0" w:color="auto"/>
              <w:right w:val="single" w:sz="4" w:space="0" w:color="auto"/>
            </w:tcBorders>
            <w:hideMark/>
          </w:tcPr>
          <w:p w:rsidR="00224E94" w:rsidRPr="00224E94" w:rsidRDefault="00224E94">
            <w:pPr>
              <w:spacing w:after="0" w:line="240" w:lineRule="auto"/>
              <w:jc w:val="both"/>
              <w:rPr>
                <w:rFonts w:ascii="Arial" w:hAnsi="Arial" w:cs="Arial"/>
                <w:i/>
                <w:iCs/>
                <w:sz w:val="20"/>
                <w:szCs w:val="20"/>
              </w:rPr>
            </w:pPr>
            <w:r w:rsidRPr="00224E94">
              <w:rPr>
                <w:rFonts w:ascii="Arial" w:hAnsi="Arial" w:cs="Arial"/>
                <w:i/>
                <w:iCs/>
                <w:sz w:val="20"/>
                <w:szCs w:val="20"/>
              </w:rPr>
              <w:t>4° 35´11.346”</w:t>
            </w:r>
          </w:p>
        </w:tc>
        <w:tc>
          <w:tcPr>
            <w:tcW w:w="2268" w:type="dxa"/>
            <w:tcBorders>
              <w:top w:val="single" w:sz="4" w:space="0" w:color="auto"/>
              <w:left w:val="single" w:sz="4" w:space="0" w:color="auto"/>
              <w:bottom w:val="single" w:sz="4" w:space="0" w:color="auto"/>
              <w:right w:val="single" w:sz="4" w:space="0" w:color="auto"/>
            </w:tcBorders>
            <w:hideMark/>
          </w:tcPr>
          <w:p w:rsidR="00224E94" w:rsidRPr="00224E94" w:rsidRDefault="00224E94" w:rsidP="00224E94">
            <w:pPr>
              <w:pStyle w:val="Prrafodelista"/>
              <w:numPr>
                <w:ilvl w:val="0"/>
                <w:numId w:val="2"/>
              </w:numPr>
              <w:spacing w:after="0" w:line="240" w:lineRule="auto"/>
              <w:jc w:val="both"/>
              <w:rPr>
                <w:rFonts w:ascii="Arial" w:hAnsi="Arial" w:cs="Arial"/>
                <w:i/>
                <w:iCs/>
                <w:sz w:val="20"/>
                <w:szCs w:val="20"/>
              </w:rPr>
            </w:pPr>
            <w:r w:rsidRPr="00224E94">
              <w:rPr>
                <w:rFonts w:ascii="Arial" w:hAnsi="Arial" w:cs="Arial"/>
                <w:i/>
                <w:iCs/>
                <w:sz w:val="20"/>
                <w:szCs w:val="20"/>
              </w:rPr>
              <w:t>74° 7´47.046</w:t>
            </w:r>
          </w:p>
        </w:tc>
      </w:tr>
      <w:tr w:rsidR="00224E94" w:rsidTr="00224E94">
        <w:tc>
          <w:tcPr>
            <w:tcW w:w="2989" w:type="dxa"/>
            <w:tcBorders>
              <w:top w:val="single" w:sz="4" w:space="0" w:color="auto"/>
              <w:left w:val="single" w:sz="4" w:space="0" w:color="auto"/>
              <w:bottom w:val="single" w:sz="4" w:space="0" w:color="auto"/>
              <w:right w:val="single" w:sz="4" w:space="0" w:color="auto"/>
            </w:tcBorders>
            <w:hideMark/>
          </w:tcPr>
          <w:p w:rsidR="00224E94" w:rsidRDefault="00224E94">
            <w:pPr>
              <w:spacing w:after="0" w:line="240" w:lineRule="auto"/>
              <w:jc w:val="both"/>
              <w:rPr>
                <w:rFonts w:ascii="Arial" w:hAnsi="Arial" w:cs="Arial"/>
                <w:i/>
                <w:sz w:val="20"/>
                <w:szCs w:val="20"/>
              </w:rPr>
            </w:pPr>
            <w:r>
              <w:rPr>
                <w:rFonts w:ascii="Arial" w:hAnsi="Arial" w:cs="Arial"/>
                <w:i/>
                <w:sz w:val="20"/>
                <w:szCs w:val="20"/>
              </w:rPr>
              <w:lastRenderedPageBreak/>
              <w:t>Liquidámbar styraciflua</w:t>
            </w:r>
          </w:p>
        </w:tc>
        <w:tc>
          <w:tcPr>
            <w:tcW w:w="2965" w:type="dxa"/>
            <w:tcBorders>
              <w:top w:val="single" w:sz="4" w:space="0" w:color="auto"/>
              <w:left w:val="single" w:sz="4" w:space="0" w:color="auto"/>
              <w:bottom w:val="single" w:sz="4" w:space="0" w:color="auto"/>
              <w:right w:val="single" w:sz="4" w:space="0" w:color="auto"/>
            </w:tcBorders>
            <w:hideMark/>
          </w:tcPr>
          <w:p w:rsidR="00224E94" w:rsidRPr="00224E94" w:rsidRDefault="00224E94">
            <w:pPr>
              <w:spacing w:after="0" w:line="240" w:lineRule="auto"/>
              <w:jc w:val="both"/>
              <w:rPr>
                <w:rFonts w:ascii="Arial" w:hAnsi="Arial" w:cs="Arial"/>
                <w:i/>
                <w:iCs/>
                <w:sz w:val="20"/>
                <w:szCs w:val="20"/>
              </w:rPr>
            </w:pPr>
            <w:r w:rsidRPr="00224E94">
              <w:rPr>
                <w:rFonts w:ascii="Arial" w:hAnsi="Arial" w:cs="Arial"/>
                <w:i/>
                <w:iCs/>
                <w:sz w:val="20"/>
                <w:szCs w:val="20"/>
              </w:rPr>
              <w:t>4° 35´11.31”</w:t>
            </w:r>
          </w:p>
        </w:tc>
        <w:tc>
          <w:tcPr>
            <w:tcW w:w="2268" w:type="dxa"/>
            <w:tcBorders>
              <w:top w:val="single" w:sz="4" w:space="0" w:color="auto"/>
              <w:left w:val="single" w:sz="4" w:space="0" w:color="auto"/>
              <w:bottom w:val="single" w:sz="4" w:space="0" w:color="auto"/>
              <w:right w:val="single" w:sz="4" w:space="0" w:color="auto"/>
            </w:tcBorders>
            <w:hideMark/>
          </w:tcPr>
          <w:p w:rsidR="00224E94" w:rsidRPr="00224E94" w:rsidRDefault="00224E94" w:rsidP="00224E94">
            <w:pPr>
              <w:pStyle w:val="Prrafodelista"/>
              <w:numPr>
                <w:ilvl w:val="0"/>
                <w:numId w:val="2"/>
              </w:numPr>
              <w:spacing w:after="0" w:line="240" w:lineRule="auto"/>
              <w:jc w:val="both"/>
              <w:rPr>
                <w:rFonts w:ascii="Arial" w:hAnsi="Arial" w:cs="Arial"/>
                <w:i/>
                <w:iCs/>
                <w:sz w:val="20"/>
                <w:szCs w:val="20"/>
              </w:rPr>
            </w:pPr>
            <w:r w:rsidRPr="00224E94">
              <w:rPr>
                <w:rFonts w:ascii="Arial" w:hAnsi="Arial" w:cs="Arial"/>
                <w:i/>
                <w:iCs/>
                <w:sz w:val="20"/>
                <w:szCs w:val="20"/>
              </w:rPr>
              <w:t>74° 7´46.98</w:t>
            </w:r>
          </w:p>
        </w:tc>
      </w:tr>
      <w:tr w:rsidR="00224E94" w:rsidTr="00224E94">
        <w:tc>
          <w:tcPr>
            <w:tcW w:w="2989" w:type="dxa"/>
            <w:tcBorders>
              <w:top w:val="single" w:sz="4" w:space="0" w:color="auto"/>
              <w:left w:val="single" w:sz="4" w:space="0" w:color="auto"/>
              <w:bottom w:val="single" w:sz="4" w:space="0" w:color="auto"/>
              <w:right w:val="single" w:sz="4" w:space="0" w:color="auto"/>
            </w:tcBorders>
            <w:hideMark/>
          </w:tcPr>
          <w:p w:rsidR="00224E94" w:rsidRDefault="00224E94">
            <w:pPr>
              <w:spacing w:after="0" w:line="240" w:lineRule="auto"/>
              <w:jc w:val="both"/>
              <w:rPr>
                <w:rFonts w:ascii="Arial" w:hAnsi="Arial" w:cs="Arial"/>
                <w:i/>
                <w:sz w:val="20"/>
                <w:szCs w:val="20"/>
              </w:rPr>
            </w:pPr>
            <w:r>
              <w:rPr>
                <w:rFonts w:ascii="Arial" w:hAnsi="Arial" w:cs="Arial"/>
                <w:i/>
                <w:sz w:val="20"/>
                <w:szCs w:val="20"/>
              </w:rPr>
              <w:t>Liquidámbar styraciflua</w:t>
            </w:r>
          </w:p>
        </w:tc>
        <w:tc>
          <w:tcPr>
            <w:tcW w:w="2965" w:type="dxa"/>
            <w:tcBorders>
              <w:top w:val="single" w:sz="4" w:space="0" w:color="auto"/>
              <w:left w:val="single" w:sz="4" w:space="0" w:color="auto"/>
              <w:bottom w:val="single" w:sz="4" w:space="0" w:color="auto"/>
              <w:right w:val="single" w:sz="4" w:space="0" w:color="auto"/>
            </w:tcBorders>
            <w:hideMark/>
          </w:tcPr>
          <w:p w:rsidR="00224E94" w:rsidRPr="00224E94" w:rsidRDefault="00224E94">
            <w:pPr>
              <w:spacing w:after="0" w:line="240" w:lineRule="auto"/>
              <w:jc w:val="both"/>
              <w:rPr>
                <w:rFonts w:ascii="Arial" w:hAnsi="Arial" w:cs="Arial"/>
                <w:i/>
                <w:iCs/>
                <w:sz w:val="20"/>
                <w:szCs w:val="20"/>
              </w:rPr>
            </w:pPr>
            <w:r w:rsidRPr="00224E94">
              <w:rPr>
                <w:rFonts w:ascii="Arial" w:hAnsi="Arial" w:cs="Arial"/>
                <w:i/>
                <w:iCs/>
                <w:sz w:val="20"/>
                <w:szCs w:val="20"/>
              </w:rPr>
              <w:t>4° 35´11.352”</w:t>
            </w:r>
          </w:p>
        </w:tc>
        <w:tc>
          <w:tcPr>
            <w:tcW w:w="2268" w:type="dxa"/>
            <w:tcBorders>
              <w:top w:val="single" w:sz="4" w:space="0" w:color="auto"/>
              <w:left w:val="single" w:sz="4" w:space="0" w:color="auto"/>
              <w:bottom w:val="single" w:sz="4" w:space="0" w:color="auto"/>
              <w:right w:val="single" w:sz="4" w:space="0" w:color="auto"/>
            </w:tcBorders>
            <w:hideMark/>
          </w:tcPr>
          <w:p w:rsidR="00224E94" w:rsidRPr="00224E94" w:rsidRDefault="00224E94" w:rsidP="00224E94">
            <w:pPr>
              <w:pStyle w:val="Prrafodelista"/>
              <w:numPr>
                <w:ilvl w:val="0"/>
                <w:numId w:val="2"/>
              </w:numPr>
              <w:spacing w:after="0" w:line="240" w:lineRule="auto"/>
              <w:jc w:val="both"/>
              <w:rPr>
                <w:rFonts w:ascii="Arial" w:hAnsi="Arial" w:cs="Arial"/>
                <w:i/>
                <w:iCs/>
                <w:sz w:val="20"/>
                <w:szCs w:val="20"/>
              </w:rPr>
            </w:pPr>
            <w:r w:rsidRPr="00224E94">
              <w:rPr>
                <w:rFonts w:ascii="Arial" w:hAnsi="Arial" w:cs="Arial"/>
                <w:i/>
                <w:iCs/>
                <w:sz w:val="20"/>
                <w:szCs w:val="20"/>
              </w:rPr>
              <w:t>74° 7´46.668</w:t>
            </w:r>
          </w:p>
        </w:tc>
      </w:tr>
      <w:tr w:rsidR="00224E94" w:rsidTr="00224E94">
        <w:tc>
          <w:tcPr>
            <w:tcW w:w="2989" w:type="dxa"/>
            <w:tcBorders>
              <w:top w:val="single" w:sz="4" w:space="0" w:color="auto"/>
              <w:left w:val="single" w:sz="4" w:space="0" w:color="auto"/>
              <w:bottom w:val="single" w:sz="4" w:space="0" w:color="auto"/>
              <w:right w:val="single" w:sz="4" w:space="0" w:color="auto"/>
            </w:tcBorders>
            <w:hideMark/>
          </w:tcPr>
          <w:p w:rsidR="00224E94" w:rsidRDefault="00224E94">
            <w:pPr>
              <w:spacing w:after="0" w:line="240" w:lineRule="auto"/>
              <w:jc w:val="both"/>
              <w:rPr>
                <w:rFonts w:ascii="Arial" w:hAnsi="Arial" w:cs="Arial"/>
                <w:i/>
                <w:sz w:val="20"/>
                <w:szCs w:val="20"/>
              </w:rPr>
            </w:pPr>
            <w:r>
              <w:rPr>
                <w:rFonts w:ascii="Arial" w:hAnsi="Arial" w:cs="Arial"/>
                <w:i/>
                <w:sz w:val="20"/>
                <w:szCs w:val="20"/>
              </w:rPr>
              <w:t>Liquidámbar styraciflua</w:t>
            </w:r>
          </w:p>
        </w:tc>
        <w:tc>
          <w:tcPr>
            <w:tcW w:w="2965" w:type="dxa"/>
            <w:tcBorders>
              <w:top w:val="single" w:sz="4" w:space="0" w:color="auto"/>
              <w:left w:val="single" w:sz="4" w:space="0" w:color="auto"/>
              <w:bottom w:val="single" w:sz="4" w:space="0" w:color="auto"/>
              <w:right w:val="single" w:sz="4" w:space="0" w:color="auto"/>
            </w:tcBorders>
            <w:hideMark/>
          </w:tcPr>
          <w:p w:rsidR="00224E94" w:rsidRPr="00224E94" w:rsidRDefault="00224E94">
            <w:pPr>
              <w:spacing w:after="0" w:line="240" w:lineRule="auto"/>
              <w:jc w:val="both"/>
              <w:rPr>
                <w:rFonts w:ascii="Arial" w:hAnsi="Arial" w:cs="Arial"/>
                <w:i/>
                <w:iCs/>
                <w:sz w:val="20"/>
                <w:szCs w:val="20"/>
              </w:rPr>
            </w:pPr>
            <w:r w:rsidRPr="00224E94">
              <w:rPr>
                <w:rFonts w:ascii="Arial" w:hAnsi="Arial" w:cs="Arial"/>
                <w:i/>
                <w:iCs/>
                <w:sz w:val="20"/>
                <w:szCs w:val="20"/>
              </w:rPr>
              <w:t>4° 35´11.382”</w:t>
            </w:r>
          </w:p>
        </w:tc>
        <w:tc>
          <w:tcPr>
            <w:tcW w:w="2268" w:type="dxa"/>
            <w:tcBorders>
              <w:top w:val="single" w:sz="4" w:space="0" w:color="auto"/>
              <w:left w:val="single" w:sz="4" w:space="0" w:color="auto"/>
              <w:bottom w:val="single" w:sz="4" w:space="0" w:color="auto"/>
              <w:right w:val="single" w:sz="4" w:space="0" w:color="auto"/>
            </w:tcBorders>
            <w:hideMark/>
          </w:tcPr>
          <w:p w:rsidR="00224E94" w:rsidRPr="00224E94" w:rsidRDefault="00224E94" w:rsidP="00224E94">
            <w:pPr>
              <w:pStyle w:val="Prrafodelista"/>
              <w:numPr>
                <w:ilvl w:val="0"/>
                <w:numId w:val="2"/>
              </w:numPr>
              <w:spacing w:after="0" w:line="240" w:lineRule="auto"/>
              <w:jc w:val="both"/>
              <w:rPr>
                <w:rFonts w:ascii="Arial" w:hAnsi="Arial" w:cs="Arial"/>
                <w:i/>
                <w:iCs/>
                <w:sz w:val="20"/>
                <w:szCs w:val="20"/>
              </w:rPr>
            </w:pPr>
            <w:r w:rsidRPr="00224E94">
              <w:rPr>
                <w:rFonts w:ascii="Arial" w:hAnsi="Arial" w:cs="Arial"/>
                <w:i/>
                <w:iCs/>
                <w:sz w:val="20"/>
                <w:szCs w:val="20"/>
              </w:rPr>
              <w:t>74° 7´46.602</w:t>
            </w:r>
          </w:p>
        </w:tc>
      </w:tr>
    </w:tbl>
    <w:p w:rsidR="00224E94" w:rsidRDefault="00224E94" w:rsidP="00224E94">
      <w:pPr>
        <w:spacing w:after="0" w:line="240" w:lineRule="auto"/>
        <w:ind w:firstLine="708"/>
        <w:jc w:val="both"/>
        <w:rPr>
          <w:rFonts w:ascii="Arial" w:hAnsi="Arial" w:cs="Arial"/>
          <w:sz w:val="16"/>
          <w:szCs w:val="16"/>
        </w:rPr>
      </w:pPr>
      <w:r>
        <w:rPr>
          <w:rFonts w:ascii="Arial" w:hAnsi="Arial" w:cs="Arial"/>
          <w:sz w:val="16"/>
          <w:szCs w:val="16"/>
        </w:rPr>
        <w:t>Fuente: Autor.</w:t>
      </w:r>
    </w:p>
    <w:p w:rsidR="00224E94" w:rsidRPr="00224E94" w:rsidRDefault="00224E94" w:rsidP="00224E94">
      <w:pPr>
        <w:spacing w:after="0" w:line="240" w:lineRule="auto"/>
        <w:jc w:val="both"/>
        <w:rPr>
          <w:rFonts w:ascii="Arial" w:hAnsi="Arial" w:cs="Arial"/>
          <w:sz w:val="20"/>
          <w:szCs w:val="20"/>
        </w:rPr>
      </w:pPr>
    </w:p>
    <w:p w:rsidR="00224E94" w:rsidRDefault="00224E94" w:rsidP="006B3E72">
      <w:pPr>
        <w:spacing w:after="0" w:line="240" w:lineRule="auto"/>
        <w:ind w:left="567" w:right="567"/>
        <w:jc w:val="both"/>
        <w:rPr>
          <w:rFonts w:ascii="Arial" w:eastAsia="Times New Roman" w:hAnsi="Arial" w:cs="Arial"/>
          <w:i/>
          <w:iCs/>
          <w:shd w:val="clear" w:color="auto" w:fill="FFFFFF"/>
          <w:lang w:eastAsia="es-CO"/>
        </w:rPr>
      </w:pPr>
      <w:r w:rsidRPr="00224E94">
        <w:rPr>
          <w:rFonts w:ascii="Arial" w:eastAsia="Times New Roman" w:hAnsi="Arial" w:cs="Arial"/>
          <w:bCs/>
          <w:i/>
          <w:iCs/>
          <w:shd w:val="clear" w:color="auto" w:fill="FFFFFF"/>
          <w:lang w:eastAsia="es-CO"/>
        </w:rPr>
        <w:t xml:space="preserve">Teniendo en cuenta lo anterior, se da por cumplida la compensación de siete (7) individuos, dado a que la misma se realizó en el año 2012 y ya se encuentra completamente adaptados. </w:t>
      </w:r>
      <w:r w:rsidRPr="00224E94">
        <w:rPr>
          <w:rFonts w:ascii="Arial" w:eastAsia="Times New Roman" w:hAnsi="Arial" w:cs="Arial"/>
          <w:i/>
          <w:iCs/>
          <w:shd w:val="clear" w:color="auto" w:fill="FFFFFF"/>
          <w:lang w:eastAsia="es-CO"/>
        </w:rPr>
        <w:t>Por último, se generará concepto técnico de seguimiento al 2008GTS1247, mediante proceso 5527006</w:t>
      </w:r>
      <w:r>
        <w:rPr>
          <w:rFonts w:ascii="Arial" w:eastAsia="Times New Roman" w:hAnsi="Arial" w:cs="Arial"/>
          <w:i/>
          <w:iCs/>
          <w:shd w:val="clear" w:color="auto" w:fill="FFFFFF"/>
          <w:lang w:eastAsia="es-CO"/>
        </w:rPr>
        <w:t>”.</w:t>
      </w:r>
    </w:p>
    <w:p w:rsidR="006B3E72" w:rsidRDefault="006B3E72" w:rsidP="006B3E72">
      <w:pPr>
        <w:spacing w:after="0" w:line="240" w:lineRule="auto"/>
        <w:ind w:right="567"/>
        <w:jc w:val="both"/>
        <w:rPr>
          <w:rFonts w:ascii="Arial" w:eastAsia="Times New Roman" w:hAnsi="Arial" w:cs="Arial"/>
          <w:i/>
          <w:iCs/>
          <w:shd w:val="clear" w:color="auto" w:fill="FFFFFF"/>
          <w:lang w:eastAsia="es-CO"/>
        </w:rPr>
      </w:pPr>
    </w:p>
    <w:p w:rsidR="006B3E72" w:rsidRDefault="006B3E72" w:rsidP="006B3E72">
      <w:pPr>
        <w:spacing w:after="0" w:line="240" w:lineRule="auto"/>
        <w:ind w:right="48"/>
        <w:jc w:val="both"/>
        <w:rPr>
          <w:rFonts w:ascii="Arial" w:eastAsia="Times New Roman" w:hAnsi="Arial" w:cs="Arial"/>
          <w:shd w:val="clear" w:color="auto" w:fill="FFFFFF"/>
          <w:lang w:eastAsia="es-CO"/>
        </w:rPr>
      </w:pPr>
      <w:r w:rsidRPr="006B3E72">
        <w:rPr>
          <w:rFonts w:ascii="Arial" w:eastAsia="Times New Roman" w:hAnsi="Arial" w:cs="Arial"/>
          <w:bCs/>
          <w:shd w:val="clear" w:color="auto" w:fill="FFFFFF"/>
          <w:lang w:eastAsia="es-CO"/>
        </w:rPr>
        <w:t>Igualmente</w:t>
      </w:r>
      <w:r w:rsidRPr="006B3E72">
        <w:rPr>
          <w:rFonts w:ascii="Arial" w:eastAsia="Times New Roman" w:hAnsi="Arial" w:cs="Arial"/>
          <w:shd w:val="clear" w:color="auto" w:fill="FFFFFF"/>
          <w:lang w:eastAsia="es-CO"/>
        </w:rPr>
        <w:t>, con el objeto de realizar seguimiento a las actividades silviculturales autorizadas, se realizó visita el</w:t>
      </w:r>
      <w:r>
        <w:rPr>
          <w:rFonts w:ascii="Arial" w:eastAsia="Times New Roman" w:hAnsi="Arial" w:cs="Arial"/>
          <w:shd w:val="clear" w:color="auto" w:fill="FFFFFF"/>
          <w:lang w:eastAsia="es-CO"/>
        </w:rPr>
        <w:t xml:space="preserve"> </w:t>
      </w:r>
      <w:r w:rsidR="00224E94">
        <w:rPr>
          <w:rFonts w:ascii="Arial" w:eastAsia="Times New Roman" w:hAnsi="Arial" w:cs="Arial"/>
          <w:shd w:val="clear" w:color="auto" w:fill="FFFFFF"/>
          <w:lang w:eastAsia="es-CO"/>
        </w:rPr>
        <w:t xml:space="preserve">29 de junio </w:t>
      </w:r>
      <w:r>
        <w:rPr>
          <w:rFonts w:ascii="Arial" w:eastAsia="Times New Roman" w:hAnsi="Arial" w:cs="Arial"/>
          <w:shd w:val="clear" w:color="auto" w:fill="FFFFFF"/>
          <w:lang w:eastAsia="es-CO"/>
        </w:rPr>
        <w:t>de 2022</w:t>
      </w:r>
      <w:r w:rsidRPr="006B3E72">
        <w:rPr>
          <w:rFonts w:ascii="Arial" w:eastAsia="Times New Roman" w:hAnsi="Arial" w:cs="Arial"/>
          <w:shd w:val="clear" w:color="auto" w:fill="FFFFFF"/>
          <w:lang w:eastAsia="es-CO"/>
        </w:rPr>
        <w:t>, emitiendo el Concepto Técnico de Seguimiento No.</w:t>
      </w:r>
      <w:r>
        <w:rPr>
          <w:rFonts w:ascii="Arial" w:eastAsia="Times New Roman" w:hAnsi="Arial" w:cs="Arial"/>
          <w:shd w:val="clear" w:color="auto" w:fill="FFFFFF"/>
          <w:lang w:eastAsia="es-CO"/>
        </w:rPr>
        <w:t xml:space="preserve"> 1</w:t>
      </w:r>
      <w:r w:rsidR="00224E94">
        <w:rPr>
          <w:rFonts w:ascii="Arial" w:eastAsia="Times New Roman" w:hAnsi="Arial" w:cs="Arial"/>
          <w:shd w:val="clear" w:color="auto" w:fill="FFFFFF"/>
          <w:lang w:eastAsia="es-CO"/>
        </w:rPr>
        <w:t xml:space="preserve">2815 del 26 de octubre </w:t>
      </w:r>
      <w:r w:rsidRPr="006B3E72">
        <w:rPr>
          <w:rFonts w:ascii="Arial" w:eastAsia="Times New Roman" w:hAnsi="Arial" w:cs="Arial"/>
          <w:shd w:val="clear" w:color="auto" w:fill="FFFFFF"/>
          <w:lang w:eastAsia="es-CO"/>
        </w:rPr>
        <w:t>de 2022, el cual establece lo siguiente:</w:t>
      </w:r>
    </w:p>
    <w:p w:rsidR="006B3E72" w:rsidRDefault="006B3E72" w:rsidP="006B3E72">
      <w:pPr>
        <w:spacing w:after="0" w:line="240" w:lineRule="auto"/>
        <w:ind w:right="48"/>
        <w:jc w:val="both"/>
        <w:rPr>
          <w:rFonts w:ascii="Arial" w:eastAsia="Times New Roman" w:hAnsi="Arial" w:cs="Arial"/>
          <w:shd w:val="clear" w:color="auto" w:fill="FFFFFF"/>
          <w:lang w:eastAsia="es-CO"/>
        </w:rPr>
      </w:pPr>
    </w:p>
    <w:p w:rsidR="00224E94" w:rsidRDefault="00445B5A" w:rsidP="00224E94">
      <w:pPr>
        <w:spacing w:after="0" w:line="240" w:lineRule="auto"/>
        <w:ind w:left="567" w:right="615"/>
        <w:jc w:val="both"/>
        <w:rPr>
          <w:rFonts w:ascii="Arial" w:eastAsia="Times New Roman" w:hAnsi="Arial" w:cs="Arial"/>
          <w:bCs/>
          <w:i/>
          <w:iCs/>
          <w:shd w:val="clear" w:color="auto" w:fill="FFFFFF"/>
          <w:lang w:eastAsia="es-CO"/>
        </w:rPr>
      </w:pPr>
      <w:r w:rsidRPr="00445B5A">
        <w:rPr>
          <w:rFonts w:ascii="Arial" w:eastAsia="Times New Roman" w:hAnsi="Arial" w:cs="Arial"/>
          <w:bCs/>
          <w:i/>
          <w:iCs/>
          <w:shd w:val="clear" w:color="auto" w:fill="FFFFFF"/>
          <w:lang w:eastAsia="es-CO"/>
        </w:rPr>
        <w:t>“</w:t>
      </w:r>
      <w:r w:rsidR="00224E94" w:rsidRPr="00224E94">
        <w:rPr>
          <w:rFonts w:ascii="Arial" w:eastAsia="Times New Roman" w:hAnsi="Arial" w:cs="Arial"/>
          <w:bCs/>
          <w:i/>
          <w:iCs/>
          <w:shd w:val="clear" w:color="auto" w:fill="FFFFFF"/>
          <w:lang w:eastAsia="es-CO"/>
        </w:rPr>
        <w:t xml:space="preserve">Mediante el Radicado 2008ER15176 del 12/04/2008 del que se solicitó evaluación silvicultural en TV 33 47 A 35 SUR, UPZ 42- VENECIA, del cual se emitió el Concepto técnico de manejo silvicultural del arbolado urbano 2008GTS1247 del 03/06/2008, autorizando al MAYOR CARLOS ALBERTO BENITES ROJAS – sin número de identificación CC, el dato fue consultado a través de la Plataforma FOREST, la tala de un (1) individuo de la especie Acacia gris (Acacia decurrens), un (1) individuo de Pino candelabro (Pinus radiata) y tres (3) individuos de la especie Eucalipto común (Eucalyptus globulus) ubicados en zona verde de lo que hoy se denomina Dirección de Escuelas Policía Nacional. </w:t>
      </w:r>
    </w:p>
    <w:p w:rsidR="00224E94" w:rsidRDefault="00224E94" w:rsidP="00224E94">
      <w:pPr>
        <w:spacing w:after="0" w:line="240" w:lineRule="auto"/>
        <w:ind w:left="567" w:right="615"/>
        <w:jc w:val="both"/>
        <w:rPr>
          <w:rFonts w:ascii="Arial" w:eastAsia="Times New Roman" w:hAnsi="Arial" w:cs="Arial"/>
          <w:bCs/>
          <w:i/>
          <w:iCs/>
          <w:shd w:val="clear" w:color="auto" w:fill="FFFFFF"/>
          <w:lang w:eastAsia="es-CO"/>
        </w:rPr>
      </w:pPr>
    </w:p>
    <w:p w:rsidR="00224E94" w:rsidRDefault="00224E94" w:rsidP="00224E94">
      <w:pPr>
        <w:spacing w:after="0" w:line="240" w:lineRule="auto"/>
        <w:ind w:left="567" w:right="615"/>
        <w:jc w:val="both"/>
        <w:rPr>
          <w:rFonts w:ascii="Arial" w:eastAsia="Times New Roman" w:hAnsi="Arial" w:cs="Arial"/>
          <w:bCs/>
          <w:i/>
          <w:iCs/>
          <w:shd w:val="clear" w:color="auto" w:fill="FFFFFF"/>
          <w:lang w:eastAsia="es-CO"/>
        </w:rPr>
      </w:pPr>
      <w:r w:rsidRPr="00224E94">
        <w:rPr>
          <w:rFonts w:ascii="Arial" w:eastAsia="Times New Roman" w:hAnsi="Arial" w:cs="Arial"/>
          <w:bCs/>
          <w:i/>
          <w:iCs/>
          <w:shd w:val="clear" w:color="auto" w:fill="FFFFFF"/>
          <w:lang w:eastAsia="es-CO"/>
        </w:rPr>
        <w:t xml:space="preserve">El día 29/06/2022 se realizó visita de Seguimiento Silvicultural, verificando que la labor solicitada se ejecutó a cabalidad, de manera técnicamente, de acuerdo a los lineamientos del Manual de Silvicultura Urbana para Bogotá, según el Acta MFG-20211444-3924. Es necesario indicar por ser una solicitud muy antigua, las personas encargadas en la Policía Nacional no tenían conocimiento de ese trámite sin embargo con el envió previo (24/06/2022) de los soportes pudieron determinar el lugar donde se encontraban anteriormente los individuos y averiguar lo relacionado con la compensación. El anterior lugar donde se ubicaba el individuo de Acacia japonesa era cerca de Jardín Dinco, los Eucaliptos se ubicaban en andén sobre la vía a la Escuela de telemática y el Pino se localizaba en el campo de paradas ESMEB. </w:t>
      </w:r>
    </w:p>
    <w:p w:rsidR="00224E94" w:rsidRDefault="00224E94" w:rsidP="00224E94">
      <w:pPr>
        <w:spacing w:after="0" w:line="240" w:lineRule="auto"/>
        <w:ind w:left="567" w:right="615"/>
        <w:jc w:val="both"/>
        <w:rPr>
          <w:rFonts w:ascii="Arial" w:eastAsia="Times New Roman" w:hAnsi="Arial" w:cs="Arial"/>
          <w:bCs/>
          <w:i/>
          <w:iCs/>
          <w:shd w:val="clear" w:color="auto" w:fill="FFFFFF"/>
          <w:lang w:eastAsia="es-CO"/>
        </w:rPr>
      </w:pPr>
    </w:p>
    <w:p w:rsidR="00376DB7" w:rsidRDefault="00224E94" w:rsidP="00224E94">
      <w:pPr>
        <w:spacing w:after="0" w:line="240" w:lineRule="auto"/>
        <w:ind w:left="567" w:right="615"/>
        <w:jc w:val="both"/>
        <w:rPr>
          <w:rFonts w:ascii="Arial" w:eastAsia="Times New Roman" w:hAnsi="Arial" w:cs="Arial"/>
          <w:bCs/>
          <w:i/>
          <w:iCs/>
          <w:shd w:val="clear" w:color="auto" w:fill="FFFFFF"/>
          <w:lang w:eastAsia="es-CO"/>
        </w:rPr>
      </w:pPr>
      <w:r w:rsidRPr="00224E94">
        <w:rPr>
          <w:rFonts w:ascii="Arial" w:eastAsia="Times New Roman" w:hAnsi="Arial" w:cs="Arial"/>
          <w:bCs/>
          <w:i/>
          <w:iCs/>
          <w:shd w:val="clear" w:color="auto" w:fill="FFFFFF"/>
          <w:lang w:eastAsia="es-CO"/>
        </w:rPr>
        <w:t xml:space="preserve">Se requirió salvoconducto de movilización de madera por generar volumen de madera comercial en un total de 4.6355 metros cúbicos de madera de la especie Eucalyptus globulus, no obstante lo anterior por un error al momento de diligenciar el acta de visita, este dato no se indicó y tampoco es de conocimiento de la persona que atendió la visita. En relación al pagos por concepto de evaluación por un valor de $ 22.200, no fue posible esclarecer si se realizó el mismo, dado a que por norma toda la documentación a los 5 años de generada se traslada al archivo general de la Policía Por valor de seguimiento, se cometió un error al general el concepto técnico </w:t>
      </w:r>
      <w:r w:rsidRPr="00224E94">
        <w:rPr>
          <w:rFonts w:ascii="Arial" w:eastAsia="Times New Roman" w:hAnsi="Arial" w:cs="Arial"/>
          <w:bCs/>
          <w:i/>
          <w:iCs/>
          <w:shd w:val="clear" w:color="auto" w:fill="FFFFFF"/>
          <w:lang w:eastAsia="es-CO"/>
        </w:rPr>
        <w:lastRenderedPageBreak/>
        <w:t>original y no se indicó, quedo en cero. En la relacionado con la compensación, esta se realizó, por lo que se verificó la plantación de 7 Individuos arbóreos equivalentes a 6.55 IVP´s, 1.7685 smmlv $ 816,162.75, de la siguiente manera: siete (7) individuos de la especie Liquidámbar (Liquidámbar styraciflua) ubicados en zona denominada Banda Sinfónica, a continuación se indican las coordenadas de ubicación:</w:t>
      </w:r>
    </w:p>
    <w:tbl>
      <w:tblPr>
        <w:tblStyle w:val="Tablaconcuadrcula"/>
        <w:tblW w:w="8222" w:type="dxa"/>
        <w:tblInd w:w="562" w:type="dxa"/>
        <w:tblLayout w:type="fixed"/>
        <w:tblLook w:val="04A0" w:firstRow="1" w:lastRow="0" w:firstColumn="1" w:lastColumn="0" w:noHBand="0" w:noVBand="1"/>
      </w:tblPr>
      <w:tblGrid>
        <w:gridCol w:w="2989"/>
        <w:gridCol w:w="2965"/>
        <w:gridCol w:w="2268"/>
      </w:tblGrid>
      <w:tr w:rsidR="00224E94" w:rsidTr="00164D96">
        <w:tc>
          <w:tcPr>
            <w:tcW w:w="2989" w:type="dxa"/>
            <w:tcBorders>
              <w:top w:val="single" w:sz="4" w:space="0" w:color="auto"/>
              <w:left w:val="single" w:sz="4" w:space="0" w:color="auto"/>
              <w:bottom w:val="single" w:sz="4" w:space="0" w:color="auto"/>
              <w:right w:val="single" w:sz="4" w:space="0" w:color="auto"/>
            </w:tcBorders>
            <w:hideMark/>
          </w:tcPr>
          <w:p w:rsidR="00224E94" w:rsidRPr="00224E94" w:rsidRDefault="00224E94" w:rsidP="00164D96">
            <w:pPr>
              <w:spacing w:after="0" w:line="240" w:lineRule="auto"/>
              <w:jc w:val="both"/>
              <w:rPr>
                <w:rFonts w:ascii="Arial" w:hAnsi="Arial" w:cs="Arial"/>
                <w:i/>
                <w:iCs/>
                <w:sz w:val="20"/>
                <w:szCs w:val="20"/>
              </w:rPr>
            </w:pPr>
            <w:r w:rsidRPr="00224E94">
              <w:rPr>
                <w:rFonts w:ascii="Arial" w:hAnsi="Arial" w:cs="Arial"/>
                <w:i/>
                <w:iCs/>
                <w:sz w:val="20"/>
                <w:szCs w:val="20"/>
              </w:rPr>
              <w:t>ESPECIE</w:t>
            </w:r>
          </w:p>
        </w:tc>
        <w:tc>
          <w:tcPr>
            <w:tcW w:w="2965" w:type="dxa"/>
            <w:tcBorders>
              <w:top w:val="single" w:sz="4" w:space="0" w:color="auto"/>
              <w:left w:val="single" w:sz="4" w:space="0" w:color="auto"/>
              <w:bottom w:val="single" w:sz="4" w:space="0" w:color="auto"/>
              <w:right w:val="single" w:sz="4" w:space="0" w:color="auto"/>
            </w:tcBorders>
            <w:hideMark/>
          </w:tcPr>
          <w:p w:rsidR="00224E94" w:rsidRPr="00224E94" w:rsidRDefault="00224E94" w:rsidP="00164D96">
            <w:pPr>
              <w:spacing w:after="0" w:line="240" w:lineRule="auto"/>
              <w:jc w:val="both"/>
              <w:rPr>
                <w:rFonts w:ascii="Arial" w:hAnsi="Arial" w:cs="Arial"/>
                <w:i/>
                <w:iCs/>
                <w:sz w:val="20"/>
                <w:szCs w:val="20"/>
              </w:rPr>
            </w:pPr>
            <w:r w:rsidRPr="00224E94">
              <w:rPr>
                <w:rFonts w:ascii="Arial" w:hAnsi="Arial" w:cs="Arial"/>
                <w:i/>
                <w:iCs/>
                <w:sz w:val="20"/>
                <w:szCs w:val="20"/>
              </w:rPr>
              <w:t>LATITUD</w:t>
            </w:r>
          </w:p>
        </w:tc>
        <w:tc>
          <w:tcPr>
            <w:tcW w:w="2268" w:type="dxa"/>
            <w:tcBorders>
              <w:top w:val="single" w:sz="4" w:space="0" w:color="auto"/>
              <w:left w:val="single" w:sz="4" w:space="0" w:color="auto"/>
              <w:bottom w:val="single" w:sz="4" w:space="0" w:color="auto"/>
              <w:right w:val="single" w:sz="4" w:space="0" w:color="auto"/>
            </w:tcBorders>
            <w:hideMark/>
          </w:tcPr>
          <w:p w:rsidR="00224E94" w:rsidRPr="00224E94" w:rsidRDefault="00224E94" w:rsidP="00164D96">
            <w:pPr>
              <w:spacing w:after="0" w:line="240" w:lineRule="auto"/>
              <w:jc w:val="both"/>
              <w:rPr>
                <w:rFonts w:ascii="Arial" w:hAnsi="Arial" w:cs="Arial"/>
                <w:i/>
                <w:iCs/>
                <w:sz w:val="20"/>
                <w:szCs w:val="20"/>
              </w:rPr>
            </w:pPr>
            <w:r w:rsidRPr="00224E94">
              <w:rPr>
                <w:rFonts w:ascii="Arial" w:hAnsi="Arial" w:cs="Arial"/>
                <w:i/>
                <w:iCs/>
                <w:sz w:val="20"/>
                <w:szCs w:val="20"/>
              </w:rPr>
              <w:t>LONGITUD</w:t>
            </w:r>
          </w:p>
        </w:tc>
      </w:tr>
      <w:tr w:rsidR="00224E94" w:rsidTr="00164D96">
        <w:tc>
          <w:tcPr>
            <w:tcW w:w="2989" w:type="dxa"/>
            <w:tcBorders>
              <w:top w:val="single" w:sz="4" w:space="0" w:color="auto"/>
              <w:left w:val="single" w:sz="4" w:space="0" w:color="auto"/>
              <w:bottom w:val="single" w:sz="4" w:space="0" w:color="auto"/>
              <w:right w:val="single" w:sz="4" w:space="0" w:color="auto"/>
            </w:tcBorders>
            <w:hideMark/>
          </w:tcPr>
          <w:p w:rsidR="00224E94" w:rsidRPr="00224E94" w:rsidRDefault="00224E94" w:rsidP="00164D96">
            <w:pPr>
              <w:spacing w:after="0" w:line="240" w:lineRule="auto"/>
              <w:jc w:val="both"/>
              <w:rPr>
                <w:rFonts w:ascii="Arial" w:hAnsi="Arial" w:cs="Arial"/>
                <w:i/>
                <w:iCs/>
                <w:sz w:val="20"/>
                <w:szCs w:val="20"/>
              </w:rPr>
            </w:pPr>
            <w:r w:rsidRPr="00224E94">
              <w:rPr>
                <w:rFonts w:ascii="Arial" w:hAnsi="Arial" w:cs="Arial"/>
                <w:i/>
                <w:iCs/>
                <w:sz w:val="20"/>
                <w:szCs w:val="20"/>
              </w:rPr>
              <w:t>Liquidámbar styraciflua</w:t>
            </w:r>
          </w:p>
        </w:tc>
        <w:tc>
          <w:tcPr>
            <w:tcW w:w="2965" w:type="dxa"/>
            <w:tcBorders>
              <w:top w:val="single" w:sz="4" w:space="0" w:color="auto"/>
              <w:left w:val="single" w:sz="4" w:space="0" w:color="auto"/>
              <w:bottom w:val="single" w:sz="4" w:space="0" w:color="auto"/>
              <w:right w:val="single" w:sz="4" w:space="0" w:color="auto"/>
            </w:tcBorders>
            <w:hideMark/>
          </w:tcPr>
          <w:p w:rsidR="00224E94" w:rsidRPr="00224E94" w:rsidRDefault="00224E94" w:rsidP="00164D96">
            <w:pPr>
              <w:spacing w:after="0" w:line="240" w:lineRule="auto"/>
              <w:jc w:val="both"/>
              <w:rPr>
                <w:rFonts w:ascii="Arial" w:hAnsi="Arial" w:cs="Arial"/>
                <w:i/>
                <w:iCs/>
                <w:sz w:val="20"/>
                <w:szCs w:val="20"/>
              </w:rPr>
            </w:pPr>
            <w:r w:rsidRPr="00224E94">
              <w:rPr>
                <w:rFonts w:ascii="Arial" w:hAnsi="Arial" w:cs="Arial"/>
                <w:i/>
                <w:iCs/>
                <w:sz w:val="20"/>
                <w:szCs w:val="20"/>
              </w:rPr>
              <w:t>4° 35´11.316”</w:t>
            </w:r>
          </w:p>
        </w:tc>
        <w:tc>
          <w:tcPr>
            <w:tcW w:w="2268" w:type="dxa"/>
            <w:tcBorders>
              <w:top w:val="single" w:sz="4" w:space="0" w:color="auto"/>
              <w:left w:val="single" w:sz="4" w:space="0" w:color="auto"/>
              <w:bottom w:val="single" w:sz="4" w:space="0" w:color="auto"/>
              <w:right w:val="single" w:sz="4" w:space="0" w:color="auto"/>
            </w:tcBorders>
            <w:hideMark/>
          </w:tcPr>
          <w:p w:rsidR="00224E94" w:rsidRPr="00224E94" w:rsidRDefault="00224E94" w:rsidP="00164D96">
            <w:pPr>
              <w:pStyle w:val="Prrafodelista"/>
              <w:numPr>
                <w:ilvl w:val="0"/>
                <w:numId w:val="2"/>
              </w:numPr>
              <w:spacing w:after="0" w:line="240" w:lineRule="auto"/>
              <w:jc w:val="both"/>
              <w:rPr>
                <w:rFonts w:ascii="Arial" w:hAnsi="Arial" w:cs="Arial"/>
                <w:i/>
                <w:iCs/>
                <w:sz w:val="20"/>
                <w:szCs w:val="20"/>
              </w:rPr>
            </w:pPr>
            <w:r w:rsidRPr="00224E94">
              <w:rPr>
                <w:rFonts w:ascii="Arial" w:hAnsi="Arial" w:cs="Arial"/>
                <w:i/>
                <w:iCs/>
                <w:sz w:val="20"/>
                <w:szCs w:val="20"/>
              </w:rPr>
              <w:t>74° 7´47.04”</w:t>
            </w:r>
          </w:p>
        </w:tc>
      </w:tr>
      <w:tr w:rsidR="00224E94" w:rsidTr="00164D96">
        <w:tc>
          <w:tcPr>
            <w:tcW w:w="2989" w:type="dxa"/>
            <w:tcBorders>
              <w:top w:val="single" w:sz="4" w:space="0" w:color="auto"/>
              <w:left w:val="single" w:sz="4" w:space="0" w:color="auto"/>
              <w:bottom w:val="single" w:sz="4" w:space="0" w:color="auto"/>
              <w:right w:val="single" w:sz="4" w:space="0" w:color="auto"/>
            </w:tcBorders>
            <w:hideMark/>
          </w:tcPr>
          <w:p w:rsidR="00224E94" w:rsidRPr="00224E94" w:rsidRDefault="00224E94" w:rsidP="00164D96">
            <w:pPr>
              <w:spacing w:after="0" w:line="240" w:lineRule="auto"/>
              <w:jc w:val="both"/>
              <w:rPr>
                <w:rFonts w:ascii="Arial" w:hAnsi="Arial" w:cs="Arial"/>
                <w:i/>
                <w:iCs/>
                <w:sz w:val="20"/>
                <w:szCs w:val="20"/>
              </w:rPr>
            </w:pPr>
            <w:r w:rsidRPr="00224E94">
              <w:rPr>
                <w:rFonts w:ascii="Arial" w:hAnsi="Arial" w:cs="Arial"/>
                <w:i/>
                <w:iCs/>
                <w:sz w:val="20"/>
                <w:szCs w:val="20"/>
              </w:rPr>
              <w:t>Liquidámbar styraciflua</w:t>
            </w:r>
          </w:p>
        </w:tc>
        <w:tc>
          <w:tcPr>
            <w:tcW w:w="2965" w:type="dxa"/>
            <w:tcBorders>
              <w:top w:val="single" w:sz="4" w:space="0" w:color="auto"/>
              <w:left w:val="single" w:sz="4" w:space="0" w:color="auto"/>
              <w:bottom w:val="single" w:sz="4" w:space="0" w:color="auto"/>
              <w:right w:val="single" w:sz="4" w:space="0" w:color="auto"/>
            </w:tcBorders>
            <w:hideMark/>
          </w:tcPr>
          <w:p w:rsidR="00224E94" w:rsidRPr="00224E94" w:rsidRDefault="00224E94" w:rsidP="00164D96">
            <w:pPr>
              <w:spacing w:after="0" w:line="240" w:lineRule="auto"/>
              <w:jc w:val="both"/>
              <w:rPr>
                <w:rFonts w:ascii="Arial" w:hAnsi="Arial" w:cs="Arial"/>
                <w:i/>
                <w:iCs/>
                <w:sz w:val="20"/>
                <w:szCs w:val="20"/>
              </w:rPr>
            </w:pPr>
            <w:r w:rsidRPr="00224E94">
              <w:rPr>
                <w:rFonts w:ascii="Arial" w:hAnsi="Arial" w:cs="Arial"/>
                <w:i/>
                <w:iCs/>
                <w:sz w:val="20"/>
                <w:szCs w:val="20"/>
              </w:rPr>
              <w:t>4° 35´11.598”</w:t>
            </w:r>
          </w:p>
        </w:tc>
        <w:tc>
          <w:tcPr>
            <w:tcW w:w="2268" w:type="dxa"/>
            <w:tcBorders>
              <w:top w:val="single" w:sz="4" w:space="0" w:color="auto"/>
              <w:left w:val="single" w:sz="4" w:space="0" w:color="auto"/>
              <w:bottom w:val="single" w:sz="4" w:space="0" w:color="auto"/>
              <w:right w:val="single" w:sz="4" w:space="0" w:color="auto"/>
            </w:tcBorders>
            <w:hideMark/>
          </w:tcPr>
          <w:p w:rsidR="00224E94" w:rsidRPr="00224E94" w:rsidRDefault="00224E94" w:rsidP="00164D96">
            <w:pPr>
              <w:pStyle w:val="Prrafodelista"/>
              <w:numPr>
                <w:ilvl w:val="0"/>
                <w:numId w:val="2"/>
              </w:numPr>
              <w:spacing w:after="0" w:line="240" w:lineRule="auto"/>
              <w:jc w:val="both"/>
              <w:rPr>
                <w:rFonts w:ascii="Arial" w:hAnsi="Arial" w:cs="Arial"/>
                <w:i/>
                <w:iCs/>
                <w:sz w:val="20"/>
                <w:szCs w:val="20"/>
              </w:rPr>
            </w:pPr>
            <w:r w:rsidRPr="00224E94">
              <w:rPr>
                <w:rFonts w:ascii="Arial" w:hAnsi="Arial" w:cs="Arial"/>
                <w:i/>
                <w:iCs/>
                <w:sz w:val="20"/>
                <w:szCs w:val="20"/>
              </w:rPr>
              <w:t>74° 7´47.052”</w:t>
            </w:r>
          </w:p>
        </w:tc>
      </w:tr>
      <w:tr w:rsidR="00224E94" w:rsidTr="00164D96">
        <w:tc>
          <w:tcPr>
            <w:tcW w:w="2989" w:type="dxa"/>
            <w:tcBorders>
              <w:top w:val="single" w:sz="4" w:space="0" w:color="auto"/>
              <w:left w:val="single" w:sz="4" w:space="0" w:color="auto"/>
              <w:bottom w:val="single" w:sz="4" w:space="0" w:color="auto"/>
              <w:right w:val="single" w:sz="4" w:space="0" w:color="auto"/>
            </w:tcBorders>
            <w:hideMark/>
          </w:tcPr>
          <w:p w:rsidR="00224E94" w:rsidRPr="00224E94" w:rsidRDefault="00224E94" w:rsidP="00164D96">
            <w:pPr>
              <w:spacing w:after="0" w:line="240" w:lineRule="auto"/>
              <w:jc w:val="both"/>
              <w:rPr>
                <w:rFonts w:ascii="Arial" w:hAnsi="Arial" w:cs="Arial"/>
                <w:i/>
                <w:iCs/>
                <w:sz w:val="20"/>
                <w:szCs w:val="20"/>
              </w:rPr>
            </w:pPr>
            <w:r w:rsidRPr="00224E94">
              <w:rPr>
                <w:rFonts w:ascii="Arial" w:hAnsi="Arial" w:cs="Arial"/>
                <w:i/>
                <w:iCs/>
                <w:sz w:val="20"/>
                <w:szCs w:val="20"/>
              </w:rPr>
              <w:t>Liquidámbar styraciflua</w:t>
            </w:r>
          </w:p>
        </w:tc>
        <w:tc>
          <w:tcPr>
            <w:tcW w:w="2965" w:type="dxa"/>
            <w:tcBorders>
              <w:top w:val="single" w:sz="4" w:space="0" w:color="auto"/>
              <w:left w:val="single" w:sz="4" w:space="0" w:color="auto"/>
              <w:bottom w:val="single" w:sz="4" w:space="0" w:color="auto"/>
              <w:right w:val="single" w:sz="4" w:space="0" w:color="auto"/>
            </w:tcBorders>
            <w:hideMark/>
          </w:tcPr>
          <w:p w:rsidR="00224E94" w:rsidRPr="00224E94" w:rsidRDefault="00224E94" w:rsidP="00164D96">
            <w:pPr>
              <w:spacing w:after="0" w:line="240" w:lineRule="auto"/>
              <w:jc w:val="both"/>
              <w:rPr>
                <w:rFonts w:ascii="Arial" w:hAnsi="Arial" w:cs="Arial"/>
                <w:i/>
                <w:iCs/>
                <w:sz w:val="20"/>
                <w:szCs w:val="20"/>
              </w:rPr>
            </w:pPr>
            <w:r w:rsidRPr="00224E94">
              <w:rPr>
                <w:rFonts w:ascii="Arial" w:hAnsi="Arial" w:cs="Arial"/>
                <w:i/>
                <w:iCs/>
                <w:sz w:val="20"/>
                <w:szCs w:val="20"/>
              </w:rPr>
              <w:t>4° 35´11.286”</w:t>
            </w:r>
          </w:p>
        </w:tc>
        <w:tc>
          <w:tcPr>
            <w:tcW w:w="2268" w:type="dxa"/>
            <w:tcBorders>
              <w:top w:val="single" w:sz="4" w:space="0" w:color="auto"/>
              <w:left w:val="single" w:sz="4" w:space="0" w:color="auto"/>
              <w:bottom w:val="single" w:sz="4" w:space="0" w:color="auto"/>
              <w:right w:val="single" w:sz="4" w:space="0" w:color="auto"/>
            </w:tcBorders>
            <w:hideMark/>
          </w:tcPr>
          <w:p w:rsidR="00224E94" w:rsidRPr="00224E94" w:rsidRDefault="00224E94" w:rsidP="00164D96">
            <w:pPr>
              <w:pStyle w:val="Prrafodelista"/>
              <w:numPr>
                <w:ilvl w:val="0"/>
                <w:numId w:val="2"/>
              </w:numPr>
              <w:spacing w:after="0" w:line="240" w:lineRule="auto"/>
              <w:jc w:val="both"/>
              <w:rPr>
                <w:rFonts w:ascii="Arial" w:hAnsi="Arial" w:cs="Arial"/>
                <w:i/>
                <w:iCs/>
                <w:sz w:val="20"/>
                <w:szCs w:val="20"/>
              </w:rPr>
            </w:pPr>
            <w:r w:rsidRPr="00224E94">
              <w:rPr>
                <w:rFonts w:ascii="Arial" w:hAnsi="Arial" w:cs="Arial"/>
                <w:i/>
                <w:iCs/>
                <w:sz w:val="20"/>
                <w:szCs w:val="20"/>
              </w:rPr>
              <w:t>74° 7´47.118</w:t>
            </w:r>
          </w:p>
        </w:tc>
      </w:tr>
      <w:tr w:rsidR="00224E94" w:rsidTr="00164D96">
        <w:tc>
          <w:tcPr>
            <w:tcW w:w="2989" w:type="dxa"/>
            <w:tcBorders>
              <w:top w:val="single" w:sz="4" w:space="0" w:color="auto"/>
              <w:left w:val="single" w:sz="4" w:space="0" w:color="auto"/>
              <w:bottom w:val="single" w:sz="4" w:space="0" w:color="auto"/>
              <w:right w:val="single" w:sz="4" w:space="0" w:color="auto"/>
            </w:tcBorders>
            <w:hideMark/>
          </w:tcPr>
          <w:p w:rsidR="00224E94" w:rsidRPr="00224E94" w:rsidRDefault="00224E94" w:rsidP="00164D96">
            <w:pPr>
              <w:spacing w:after="0" w:line="240" w:lineRule="auto"/>
              <w:jc w:val="both"/>
              <w:rPr>
                <w:rFonts w:ascii="Arial" w:hAnsi="Arial" w:cs="Arial"/>
                <w:i/>
                <w:iCs/>
                <w:sz w:val="20"/>
                <w:szCs w:val="20"/>
              </w:rPr>
            </w:pPr>
            <w:r w:rsidRPr="00224E94">
              <w:rPr>
                <w:rFonts w:ascii="Arial" w:hAnsi="Arial" w:cs="Arial"/>
                <w:i/>
                <w:iCs/>
                <w:sz w:val="20"/>
                <w:szCs w:val="20"/>
              </w:rPr>
              <w:t>Liquidámbar styraciflua</w:t>
            </w:r>
          </w:p>
        </w:tc>
        <w:tc>
          <w:tcPr>
            <w:tcW w:w="2965" w:type="dxa"/>
            <w:tcBorders>
              <w:top w:val="single" w:sz="4" w:space="0" w:color="auto"/>
              <w:left w:val="single" w:sz="4" w:space="0" w:color="auto"/>
              <w:bottom w:val="single" w:sz="4" w:space="0" w:color="auto"/>
              <w:right w:val="single" w:sz="4" w:space="0" w:color="auto"/>
            </w:tcBorders>
            <w:hideMark/>
          </w:tcPr>
          <w:p w:rsidR="00224E94" w:rsidRPr="00224E94" w:rsidRDefault="00224E94" w:rsidP="00164D96">
            <w:pPr>
              <w:spacing w:after="0" w:line="240" w:lineRule="auto"/>
              <w:jc w:val="both"/>
              <w:rPr>
                <w:rFonts w:ascii="Arial" w:hAnsi="Arial" w:cs="Arial"/>
                <w:i/>
                <w:iCs/>
                <w:sz w:val="20"/>
                <w:szCs w:val="20"/>
              </w:rPr>
            </w:pPr>
            <w:r w:rsidRPr="00224E94">
              <w:rPr>
                <w:rFonts w:ascii="Arial" w:hAnsi="Arial" w:cs="Arial"/>
                <w:i/>
                <w:iCs/>
                <w:sz w:val="20"/>
                <w:szCs w:val="20"/>
              </w:rPr>
              <w:t>4° 35´11.346”</w:t>
            </w:r>
          </w:p>
        </w:tc>
        <w:tc>
          <w:tcPr>
            <w:tcW w:w="2268" w:type="dxa"/>
            <w:tcBorders>
              <w:top w:val="single" w:sz="4" w:space="0" w:color="auto"/>
              <w:left w:val="single" w:sz="4" w:space="0" w:color="auto"/>
              <w:bottom w:val="single" w:sz="4" w:space="0" w:color="auto"/>
              <w:right w:val="single" w:sz="4" w:space="0" w:color="auto"/>
            </w:tcBorders>
            <w:hideMark/>
          </w:tcPr>
          <w:p w:rsidR="00224E94" w:rsidRPr="00224E94" w:rsidRDefault="00224E94" w:rsidP="00164D96">
            <w:pPr>
              <w:pStyle w:val="Prrafodelista"/>
              <w:numPr>
                <w:ilvl w:val="0"/>
                <w:numId w:val="2"/>
              </w:numPr>
              <w:spacing w:after="0" w:line="240" w:lineRule="auto"/>
              <w:jc w:val="both"/>
              <w:rPr>
                <w:rFonts w:ascii="Arial" w:hAnsi="Arial" w:cs="Arial"/>
                <w:i/>
                <w:iCs/>
                <w:sz w:val="20"/>
                <w:szCs w:val="20"/>
              </w:rPr>
            </w:pPr>
            <w:r w:rsidRPr="00224E94">
              <w:rPr>
                <w:rFonts w:ascii="Arial" w:hAnsi="Arial" w:cs="Arial"/>
                <w:i/>
                <w:iCs/>
                <w:sz w:val="20"/>
                <w:szCs w:val="20"/>
              </w:rPr>
              <w:t>74° 7´47.046</w:t>
            </w:r>
          </w:p>
        </w:tc>
      </w:tr>
      <w:tr w:rsidR="00224E94" w:rsidTr="00164D96">
        <w:tc>
          <w:tcPr>
            <w:tcW w:w="2989" w:type="dxa"/>
            <w:tcBorders>
              <w:top w:val="single" w:sz="4" w:space="0" w:color="auto"/>
              <w:left w:val="single" w:sz="4" w:space="0" w:color="auto"/>
              <w:bottom w:val="single" w:sz="4" w:space="0" w:color="auto"/>
              <w:right w:val="single" w:sz="4" w:space="0" w:color="auto"/>
            </w:tcBorders>
            <w:hideMark/>
          </w:tcPr>
          <w:p w:rsidR="00224E94" w:rsidRPr="00224E94" w:rsidRDefault="00224E94" w:rsidP="00164D96">
            <w:pPr>
              <w:spacing w:after="0" w:line="240" w:lineRule="auto"/>
              <w:jc w:val="both"/>
              <w:rPr>
                <w:rFonts w:ascii="Arial" w:hAnsi="Arial" w:cs="Arial"/>
                <w:i/>
                <w:iCs/>
                <w:sz w:val="20"/>
                <w:szCs w:val="20"/>
              </w:rPr>
            </w:pPr>
            <w:r w:rsidRPr="00224E94">
              <w:rPr>
                <w:rFonts w:ascii="Arial" w:hAnsi="Arial" w:cs="Arial"/>
                <w:i/>
                <w:iCs/>
                <w:sz w:val="20"/>
                <w:szCs w:val="20"/>
              </w:rPr>
              <w:t>Liquidámbar styraciflua</w:t>
            </w:r>
          </w:p>
        </w:tc>
        <w:tc>
          <w:tcPr>
            <w:tcW w:w="2965" w:type="dxa"/>
            <w:tcBorders>
              <w:top w:val="single" w:sz="4" w:space="0" w:color="auto"/>
              <w:left w:val="single" w:sz="4" w:space="0" w:color="auto"/>
              <w:bottom w:val="single" w:sz="4" w:space="0" w:color="auto"/>
              <w:right w:val="single" w:sz="4" w:space="0" w:color="auto"/>
            </w:tcBorders>
            <w:hideMark/>
          </w:tcPr>
          <w:p w:rsidR="00224E94" w:rsidRPr="00224E94" w:rsidRDefault="00224E94" w:rsidP="00164D96">
            <w:pPr>
              <w:spacing w:after="0" w:line="240" w:lineRule="auto"/>
              <w:jc w:val="both"/>
              <w:rPr>
                <w:rFonts w:ascii="Arial" w:hAnsi="Arial" w:cs="Arial"/>
                <w:i/>
                <w:iCs/>
                <w:sz w:val="20"/>
                <w:szCs w:val="20"/>
              </w:rPr>
            </w:pPr>
            <w:r w:rsidRPr="00224E94">
              <w:rPr>
                <w:rFonts w:ascii="Arial" w:hAnsi="Arial" w:cs="Arial"/>
                <w:i/>
                <w:iCs/>
                <w:sz w:val="20"/>
                <w:szCs w:val="20"/>
              </w:rPr>
              <w:t>4° 35´11.31”</w:t>
            </w:r>
          </w:p>
        </w:tc>
        <w:tc>
          <w:tcPr>
            <w:tcW w:w="2268" w:type="dxa"/>
            <w:tcBorders>
              <w:top w:val="single" w:sz="4" w:space="0" w:color="auto"/>
              <w:left w:val="single" w:sz="4" w:space="0" w:color="auto"/>
              <w:bottom w:val="single" w:sz="4" w:space="0" w:color="auto"/>
              <w:right w:val="single" w:sz="4" w:space="0" w:color="auto"/>
            </w:tcBorders>
            <w:hideMark/>
          </w:tcPr>
          <w:p w:rsidR="00224E94" w:rsidRPr="00224E94" w:rsidRDefault="00224E94" w:rsidP="00164D96">
            <w:pPr>
              <w:pStyle w:val="Prrafodelista"/>
              <w:numPr>
                <w:ilvl w:val="0"/>
                <w:numId w:val="2"/>
              </w:numPr>
              <w:spacing w:after="0" w:line="240" w:lineRule="auto"/>
              <w:jc w:val="both"/>
              <w:rPr>
                <w:rFonts w:ascii="Arial" w:hAnsi="Arial" w:cs="Arial"/>
                <w:i/>
                <w:iCs/>
                <w:sz w:val="20"/>
                <w:szCs w:val="20"/>
              </w:rPr>
            </w:pPr>
            <w:r w:rsidRPr="00224E94">
              <w:rPr>
                <w:rFonts w:ascii="Arial" w:hAnsi="Arial" w:cs="Arial"/>
                <w:i/>
                <w:iCs/>
                <w:sz w:val="20"/>
                <w:szCs w:val="20"/>
              </w:rPr>
              <w:t>74° 7´46.98</w:t>
            </w:r>
          </w:p>
        </w:tc>
      </w:tr>
      <w:tr w:rsidR="00224E94" w:rsidTr="00164D96">
        <w:tc>
          <w:tcPr>
            <w:tcW w:w="2989" w:type="dxa"/>
            <w:tcBorders>
              <w:top w:val="single" w:sz="4" w:space="0" w:color="auto"/>
              <w:left w:val="single" w:sz="4" w:space="0" w:color="auto"/>
              <w:bottom w:val="single" w:sz="4" w:space="0" w:color="auto"/>
              <w:right w:val="single" w:sz="4" w:space="0" w:color="auto"/>
            </w:tcBorders>
            <w:hideMark/>
          </w:tcPr>
          <w:p w:rsidR="00224E94" w:rsidRPr="00224E94" w:rsidRDefault="00224E94" w:rsidP="00164D96">
            <w:pPr>
              <w:spacing w:after="0" w:line="240" w:lineRule="auto"/>
              <w:jc w:val="both"/>
              <w:rPr>
                <w:rFonts w:ascii="Arial" w:hAnsi="Arial" w:cs="Arial"/>
                <w:i/>
                <w:iCs/>
                <w:sz w:val="20"/>
                <w:szCs w:val="20"/>
              </w:rPr>
            </w:pPr>
            <w:r w:rsidRPr="00224E94">
              <w:rPr>
                <w:rFonts w:ascii="Arial" w:hAnsi="Arial" w:cs="Arial"/>
                <w:i/>
                <w:iCs/>
                <w:sz w:val="20"/>
                <w:szCs w:val="20"/>
              </w:rPr>
              <w:t>Liquidámbar styraciflua</w:t>
            </w:r>
          </w:p>
        </w:tc>
        <w:tc>
          <w:tcPr>
            <w:tcW w:w="2965" w:type="dxa"/>
            <w:tcBorders>
              <w:top w:val="single" w:sz="4" w:space="0" w:color="auto"/>
              <w:left w:val="single" w:sz="4" w:space="0" w:color="auto"/>
              <w:bottom w:val="single" w:sz="4" w:space="0" w:color="auto"/>
              <w:right w:val="single" w:sz="4" w:space="0" w:color="auto"/>
            </w:tcBorders>
            <w:hideMark/>
          </w:tcPr>
          <w:p w:rsidR="00224E94" w:rsidRPr="00224E94" w:rsidRDefault="00224E94" w:rsidP="00164D96">
            <w:pPr>
              <w:spacing w:after="0" w:line="240" w:lineRule="auto"/>
              <w:jc w:val="both"/>
              <w:rPr>
                <w:rFonts w:ascii="Arial" w:hAnsi="Arial" w:cs="Arial"/>
                <w:i/>
                <w:iCs/>
                <w:sz w:val="20"/>
                <w:szCs w:val="20"/>
              </w:rPr>
            </w:pPr>
            <w:r w:rsidRPr="00224E94">
              <w:rPr>
                <w:rFonts w:ascii="Arial" w:hAnsi="Arial" w:cs="Arial"/>
                <w:i/>
                <w:iCs/>
                <w:sz w:val="20"/>
                <w:szCs w:val="20"/>
              </w:rPr>
              <w:t>4° 35´11.352”</w:t>
            </w:r>
          </w:p>
        </w:tc>
        <w:tc>
          <w:tcPr>
            <w:tcW w:w="2268" w:type="dxa"/>
            <w:tcBorders>
              <w:top w:val="single" w:sz="4" w:space="0" w:color="auto"/>
              <w:left w:val="single" w:sz="4" w:space="0" w:color="auto"/>
              <w:bottom w:val="single" w:sz="4" w:space="0" w:color="auto"/>
              <w:right w:val="single" w:sz="4" w:space="0" w:color="auto"/>
            </w:tcBorders>
            <w:hideMark/>
          </w:tcPr>
          <w:p w:rsidR="00224E94" w:rsidRPr="00224E94" w:rsidRDefault="00224E94" w:rsidP="00164D96">
            <w:pPr>
              <w:pStyle w:val="Prrafodelista"/>
              <w:numPr>
                <w:ilvl w:val="0"/>
                <w:numId w:val="2"/>
              </w:numPr>
              <w:spacing w:after="0" w:line="240" w:lineRule="auto"/>
              <w:jc w:val="both"/>
              <w:rPr>
                <w:rFonts w:ascii="Arial" w:hAnsi="Arial" w:cs="Arial"/>
                <w:i/>
                <w:iCs/>
                <w:sz w:val="20"/>
                <w:szCs w:val="20"/>
              </w:rPr>
            </w:pPr>
            <w:r w:rsidRPr="00224E94">
              <w:rPr>
                <w:rFonts w:ascii="Arial" w:hAnsi="Arial" w:cs="Arial"/>
                <w:i/>
                <w:iCs/>
                <w:sz w:val="20"/>
                <w:szCs w:val="20"/>
              </w:rPr>
              <w:t>74° 7´46.668</w:t>
            </w:r>
          </w:p>
        </w:tc>
      </w:tr>
      <w:tr w:rsidR="00224E94" w:rsidTr="00164D96">
        <w:tc>
          <w:tcPr>
            <w:tcW w:w="2989" w:type="dxa"/>
            <w:tcBorders>
              <w:top w:val="single" w:sz="4" w:space="0" w:color="auto"/>
              <w:left w:val="single" w:sz="4" w:space="0" w:color="auto"/>
              <w:bottom w:val="single" w:sz="4" w:space="0" w:color="auto"/>
              <w:right w:val="single" w:sz="4" w:space="0" w:color="auto"/>
            </w:tcBorders>
            <w:hideMark/>
          </w:tcPr>
          <w:p w:rsidR="00224E94" w:rsidRPr="00224E94" w:rsidRDefault="00224E94" w:rsidP="00164D96">
            <w:pPr>
              <w:spacing w:after="0" w:line="240" w:lineRule="auto"/>
              <w:jc w:val="both"/>
              <w:rPr>
                <w:rFonts w:ascii="Arial" w:hAnsi="Arial" w:cs="Arial"/>
                <w:i/>
                <w:iCs/>
                <w:sz w:val="20"/>
                <w:szCs w:val="20"/>
              </w:rPr>
            </w:pPr>
            <w:r w:rsidRPr="00224E94">
              <w:rPr>
                <w:rFonts w:ascii="Arial" w:hAnsi="Arial" w:cs="Arial"/>
                <w:i/>
                <w:iCs/>
                <w:sz w:val="20"/>
                <w:szCs w:val="20"/>
              </w:rPr>
              <w:t>Liquidámbar styraciflua</w:t>
            </w:r>
          </w:p>
        </w:tc>
        <w:tc>
          <w:tcPr>
            <w:tcW w:w="2965" w:type="dxa"/>
            <w:tcBorders>
              <w:top w:val="single" w:sz="4" w:space="0" w:color="auto"/>
              <w:left w:val="single" w:sz="4" w:space="0" w:color="auto"/>
              <w:bottom w:val="single" w:sz="4" w:space="0" w:color="auto"/>
              <w:right w:val="single" w:sz="4" w:space="0" w:color="auto"/>
            </w:tcBorders>
            <w:hideMark/>
          </w:tcPr>
          <w:p w:rsidR="00224E94" w:rsidRPr="00224E94" w:rsidRDefault="00224E94" w:rsidP="00164D96">
            <w:pPr>
              <w:spacing w:after="0" w:line="240" w:lineRule="auto"/>
              <w:jc w:val="both"/>
              <w:rPr>
                <w:rFonts w:ascii="Arial" w:hAnsi="Arial" w:cs="Arial"/>
                <w:i/>
                <w:iCs/>
                <w:sz w:val="20"/>
                <w:szCs w:val="20"/>
              </w:rPr>
            </w:pPr>
            <w:r w:rsidRPr="00224E94">
              <w:rPr>
                <w:rFonts w:ascii="Arial" w:hAnsi="Arial" w:cs="Arial"/>
                <w:i/>
                <w:iCs/>
                <w:sz w:val="20"/>
                <w:szCs w:val="20"/>
              </w:rPr>
              <w:t>4° 35´11.382”</w:t>
            </w:r>
          </w:p>
        </w:tc>
        <w:tc>
          <w:tcPr>
            <w:tcW w:w="2268" w:type="dxa"/>
            <w:tcBorders>
              <w:top w:val="single" w:sz="4" w:space="0" w:color="auto"/>
              <w:left w:val="single" w:sz="4" w:space="0" w:color="auto"/>
              <w:bottom w:val="single" w:sz="4" w:space="0" w:color="auto"/>
              <w:right w:val="single" w:sz="4" w:space="0" w:color="auto"/>
            </w:tcBorders>
            <w:hideMark/>
          </w:tcPr>
          <w:p w:rsidR="00224E94" w:rsidRPr="00224E94" w:rsidRDefault="00224E94" w:rsidP="00164D96">
            <w:pPr>
              <w:pStyle w:val="Prrafodelista"/>
              <w:numPr>
                <w:ilvl w:val="0"/>
                <w:numId w:val="2"/>
              </w:numPr>
              <w:spacing w:after="0" w:line="240" w:lineRule="auto"/>
              <w:jc w:val="both"/>
              <w:rPr>
                <w:rFonts w:ascii="Arial" w:hAnsi="Arial" w:cs="Arial"/>
                <w:i/>
                <w:iCs/>
                <w:sz w:val="20"/>
                <w:szCs w:val="20"/>
              </w:rPr>
            </w:pPr>
            <w:r w:rsidRPr="00224E94">
              <w:rPr>
                <w:rFonts w:ascii="Arial" w:hAnsi="Arial" w:cs="Arial"/>
                <w:i/>
                <w:iCs/>
                <w:sz w:val="20"/>
                <w:szCs w:val="20"/>
              </w:rPr>
              <w:t>74° 7´46.602</w:t>
            </w:r>
          </w:p>
        </w:tc>
      </w:tr>
    </w:tbl>
    <w:p w:rsidR="00224E94" w:rsidRDefault="00224E94" w:rsidP="00224E94">
      <w:pPr>
        <w:spacing w:after="0" w:line="240" w:lineRule="auto"/>
        <w:ind w:left="567"/>
        <w:jc w:val="both"/>
        <w:rPr>
          <w:rFonts w:ascii="Arial" w:hAnsi="Arial" w:cs="Arial"/>
          <w:i/>
          <w:iCs/>
        </w:rPr>
      </w:pPr>
      <w:r w:rsidRPr="00224E94">
        <w:rPr>
          <w:rFonts w:ascii="Arial" w:hAnsi="Arial" w:cs="Arial"/>
          <w:i/>
          <w:iCs/>
        </w:rPr>
        <w:t xml:space="preserve">Dichos individuos fueron plantados aproximadamente en el año 2012. Mediante proceso FOREST 5527001 se elabora el Concepto técnico de Plantación respectivo. </w:t>
      </w:r>
    </w:p>
    <w:p w:rsidR="00224E94" w:rsidRDefault="00224E94" w:rsidP="00224E94">
      <w:pPr>
        <w:spacing w:after="0" w:line="240" w:lineRule="auto"/>
        <w:ind w:left="567"/>
        <w:jc w:val="both"/>
        <w:rPr>
          <w:rFonts w:ascii="Arial" w:hAnsi="Arial" w:cs="Arial"/>
          <w:i/>
          <w:iCs/>
        </w:rPr>
      </w:pPr>
    </w:p>
    <w:p w:rsidR="00224E94" w:rsidRDefault="00224E94" w:rsidP="00224E94">
      <w:pPr>
        <w:spacing w:after="0" w:line="240" w:lineRule="auto"/>
        <w:ind w:left="567"/>
        <w:jc w:val="both"/>
        <w:rPr>
          <w:rFonts w:ascii="Arial" w:hAnsi="Arial" w:cs="Arial"/>
          <w:i/>
          <w:iCs/>
        </w:rPr>
      </w:pPr>
      <w:r w:rsidRPr="00224E94">
        <w:rPr>
          <w:rFonts w:ascii="Arial" w:hAnsi="Arial" w:cs="Arial"/>
          <w:i/>
          <w:iCs/>
        </w:rPr>
        <w:t>Por tratarse de un concepto técnico del año 2008 no aplica requerir al autorizado por el soporte de la movilización de madera</w:t>
      </w:r>
      <w:r>
        <w:rPr>
          <w:rFonts w:ascii="Arial" w:hAnsi="Arial" w:cs="Arial"/>
          <w:i/>
          <w:iCs/>
        </w:rPr>
        <w:t>”.</w:t>
      </w:r>
    </w:p>
    <w:p w:rsidR="004759C4" w:rsidRDefault="004759C4" w:rsidP="004759C4">
      <w:pPr>
        <w:spacing w:after="0" w:line="240" w:lineRule="auto"/>
        <w:jc w:val="both"/>
        <w:rPr>
          <w:rFonts w:ascii="Arial" w:hAnsi="Arial" w:cs="Arial"/>
          <w:i/>
          <w:iCs/>
        </w:rPr>
      </w:pPr>
    </w:p>
    <w:p w:rsidR="00A676A4" w:rsidRDefault="00A676A4" w:rsidP="004759C4">
      <w:pPr>
        <w:spacing w:after="0" w:line="240" w:lineRule="auto"/>
        <w:jc w:val="both"/>
        <w:rPr>
          <w:rFonts w:ascii="Arial" w:hAnsi="Arial" w:cs="Arial"/>
        </w:rPr>
      </w:pPr>
      <w:r>
        <w:rPr>
          <w:rFonts w:ascii="Arial" w:hAnsi="Arial" w:cs="Arial"/>
        </w:rPr>
        <w:t xml:space="preserve">Así las cosas, se constató la </w:t>
      </w:r>
      <w:r w:rsidR="005664F0" w:rsidRPr="005664F0">
        <w:rPr>
          <w:rFonts w:ascii="Arial" w:hAnsi="Arial" w:cs="Arial"/>
          <w:b/>
          <w:bCs/>
        </w:rPr>
        <w:t>PLANTACIÓN</w:t>
      </w:r>
      <w:r>
        <w:rPr>
          <w:rFonts w:ascii="Arial" w:hAnsi="Arial" w:cs="Arial"/>
        </w:rPr>
        <w:t xml:space="preserve"> de siete (7) individuos arbóreos en adecuado estado fitosanitario, </w:t>
      </w:r>
      <w:r w:rsidR="00AC67B2">
        <w:rPr>
          <w:rFonts w:ascii="Arial" w:hAnsi="Arial" w:cs="Arial"/>
        </w:rPr>
        <w:t>los cuales presentaron</w:t>
      </w:r>
      <w:r>
        <w:rPr>
          <w:rFonts w:ascii="Arial" w:hAnsi="Arial" w:cs="Arial"/>
        </w:rPr>
        <w:t xml:space="preserve"> podas de control y mantenimiento, por lo que se concluye el cumplimiento total de la medida de </w:t>
      </w:r>
      <w:r w:rsidRPr="005664F0">
        <w:rPr>
          <w:rFonts w:ascii="Arial" w:hAnsi="Arial" w:cs="Arial"/>
          <w:b/>
          <w:bCs/>
        </w:rPr>
        <w:t>COMPENSACIÓN.</w:t>
      </w:r>
    </w:p>
    <w:p w:rsidR="00A676A4" w:rsidRDefault="00A676A4" w:rsidP="004759C4">
      <w:pPr>
        <w:spacing w:after="0" w:line="240" w:lineRule="auto"/>
        <w:jc w:val="both"/>
        <w:rPr>
          <w:rFonts w:ascii="Arial" w:hAnsi="Arial" w:cs="Arial"/>
        </w:rPr>
      </w:pPr>
    </w:p>
    <w:p w:rsidR="00A676A4" w:rsidRDefault="00A676A4" w:rsidP="004759C4">
      <w:pPr>
        <w:spacing w:after="0" w:line="240" w:lineRule="auto"/>
        <w:jc w:val="both"/>
        <w:rPr>
          <w:rFonts w:ascii="Arial" w:hAnsi="Arial" w:cs="Arial"/>
        </w:rPr>
      </w:pPr>
      <w:r>
        <w:rPr>
          <w:rFonts w:ascii="Arial" w:hAnsi="Arial" w:cs="Arial"/>
        </w:rPr>
        <w:t>En relación con</w:t>
      </w:r>
      <w:r w:rsidRPr="00A676A4">
        <w:rPr>
          <w:rFonts w:ascii="Arial" w:hAnsi="Arial" w:cs="Arial"/>
        </w:rPr>
        <w:t xml:space="preserve"> el pago correspondiente al concepto de </w:t>
      </w:r>
      <w:r>
        <w:rPr>
          <w:rFonts w:ascii="Arial" w:hAnsi="Arial" w:cs="Arial"/>
          <w:b/>
          <w:bCs/>
        </w:rPr>
        <w:t xml:space="preserve">EVALUACIÓN </w:t>
      </w:r>
      <w:r w:rsidRPr="00A676A4">
        <w:rPr>
          <w:rFonts w:ascii="Arial" w:hAnsi="Arial" w:cs="Arial"/>
        </w:rPr>
        <w:t xml:space="preserve">por valor de </w:t>
      </w:r>
      <w:r>
        <w:rPr>
          <w:rFonts w:ascii="Arial" w:eastAsia="Times New Roman" w:hAnsi="Arial" w:cs="Arial"/>
          <w:shd w:val="clear" w:color="auto" w:fill="FFFFFF"/>
          <w:lang w:eastAsia="es-CO"/>
        </w:rPr>
        <w:t>VEINTI DOS MIL PESOS ($</w:t>
      </w:r>
      <w:r w:rsidRPr="00224E94">
        <w:rPr>
          <w:rFonts w:ascii="Arial" w:eastAsia="Times New Roman" w:hAnsi="Arial" w:cs="Arial"/>
          <w:shd w:val="clear" w:color="auto" w:fill="FFFFFF"/>
          <w:lang w:eastAsia="es-CO"/>
        </w:rPr>
        <w:t>22.200</w:t>
      </w:r>
      <w:r>
        <w:rPr>
          <w:rFonts w:ascii="Arial" w:eastAsia="Times New Roman" w:hAnsi="Arial" w:cs="Arial"/>
          <w:shd w:val="clear" w:color="auto" w:fill="FFFFFF"/>
          <w:lang w:eastAsia="es-CO"/>
        </w:rPr>
        <w:t>) M/cte.</w:t>
      </w:r>
      <w:r>
        <w:rPr>
          <w:rFonts w:ascii="Arial" w:eastAsia="Times New Roman" w:hAnsi="Arial" w:cs="Arial"/>
          <w:shd w:val="clear" w:color="auto" w:fill="FFFFFF"/>
          <w:lang w:eastAsia="es-CO"/>
        </w:rPr>
        <w:t xml:space="preserve">, </w:t>
      </w:r>
      <w:r w:rsidRPr="00A676A4">
        <w:rPr>
          <w:rFonts w:ascii="Arial" w:hAnsi="Arial" w:cs="Arial"/>
        </w:rPr>
        <w:t xml:space="preserve">no fue posible determinar si dicho pago se efectuó, </w:t>
      </w:r>
      <w:r w:rsidR="00AC67B2" w:rsidRPr="00AC67B2">
        <w:rPr>
          <w:rFonts w:ascii="Arial" w:hAnsi="Arial" w:cs="Arial"/>
        </w:rPr>
        <w:t>toda vez que la documentación asociada fue trasladada al archivo general, lo que impid</w:t>
      </w:r>
      <w:r w:rsidR="00AC67B2">
        <w:rPr>
          <w:rFonts w:ascii="Arial" w:hAnsi="Arial" w:cs="Arial"/>
        </w:rPr>
        <w:t>ió</w:t>
      </w:r>
      <w:r w:rsidR="00AC67B2" w:rsidRPr="00AC67B2">
        <w:rPr>
          <w:rFonts w:ascii="Arial" w:hAnsi="Arial" w:cs="Arial"/>
        </w:rPr>
        <w:t xml:space="preserve"> su verificación</w:t>
      </w:r>
      <w:r w:rsidRPr="00A676A4">
        <w:rPr>
          <w:rFonts w:ascii="Arial" w:hAnsi="Arial" w:cs="Arial"/>
        </w:rPr>
        <w:t xml:space="preserve">. No obstante, el monto adeudado se encuentra por debajo del umbral establecido en el artículo 2 de la Resolución </w:t>
      </w:r>
      <w:r>
        <w:rPr>
          <w:rFonts w:ascii="Arial" w:hAnsi="Arial" w:cs="Arial"/>
        </w:rPr>
        <w:t xml:space="preserve">No. </w:t>
      </w:r>
      <w:r w:rsidRPr="00A676A4">
        <w:rPr>
          <w:rFonts w:ascii="Arial" w:hAnsi="Arial" w:cs="Arial"/>
        </w:rPr>
        <w:t xml:space="preserve">02841 del 15 de diciembre de 2023, </w:t>
      </w:r>
      <w:r w:rsidRPr="00A676A4">
        <w:rPr>
          <w:rFonts w:ascii="Arial" w:hAnsi="Arial" w:cs="Arial"/>
          <w:i/>
          <w:iCs/>
        </w:rPr>
        <w:t>“Por la cual se establece cuantía para declarar que acreencias a favor de la Secretaría Distrital de Ambiente constituyen cartera de imposible recaudo y aprobar su depuración contable, de conformidad con la relación costo/beneficio”</w:t>
      </w:r>
      <w:r>
        <w:rPr>
          <w:rFonts w:ascii="Arial" w:hAnsi="Arial" w:cs="Arial"/>
          <w:i/>
          <w:iCs/>
        </w:rPr>
        <w:t xml:space="preserve">, </w:t>
      </w:r>
      <w:r w:rsidR="00AC67B2">
        <w:rPr>
          <w:rFonts w:ascii="Arial" w:hAnsi="Arial" w:cs="Arial"/>
        </w:rPr>
        <w:t xml:space="preserve">el cual fija </w:t>
      </w:r>
      <w:r w:rsidRPr="00A676A4">
        <w:rPr>
          <w:rFonts w:ascii="Arial" w:hAnsi="Arial" w:cs="Arial"/>
        </w:rPr>
        <w:t>en 4,72 UVT el valor mínimo para que una acreencia sea trasladada a cobro coactivo ante la Dirección Distrital de Cobro.</w:t>
      </w:r>
    </w:p>
    <w:p w:rsidR="00A676A4" w:rsidRDefault="00A676A4" w:rsidP="004759C4">
      <w:pPr>
        <w:spacing w:after="0" w:line="240" w:lineRule="auto"/>
        <w:jc w:val="both"/>
        <w:rPr>
          <w:rFonts w:ascii="Arial" w:hAnsi="Arial" w:cs="Arial"/>
        </w:rPr>
      </w:pPr>
    </w:p>
    <w:p w:rsidR="00A676A4" w:rsidRDefault="00A676A4" w:rsidP="004759C4">
      <w:pPr>
        <w:spacing w:after="0" w:line="240" w:lineRule="auto"/>
        <w:jc w:val="both"/>
        <w:rPr>
          <w:rFonts w:ascii="Arial" w:hAnsi="Arial" w:cs="Arial"/>
        </w:rPr>
      </w:pPr>
      <w:r w:rsidRPr="00A676A4">
        <w:rPr>
          <w:rFonts w:ascii="Arial" w:hAnsi="Arial" w:cs="Arial"/>
        </w:rPr>
        <w:t xml:space="preserve">Que teniendo en cuenta el parámetro anteriormente señalado de </w:t>
      </w:r>
      <w:r w:rsidRPr="00A676A4">
        <w:rPr>
          <w:rFonts w:ascii="Arial" w:hAnsi="Arial" w:cs="Arial"/>
        </w:rPr>
        <w:t>4,72 UVT para determinar la cartera de imposible recaudo</w:t>
      </w:r>
      <w:r w:rsidRPr="00A676A4">
        <w:rPr>
          <w:rFonts w:ascii="Arial" w:hAnsi="Arial" w:cs="Arial"/>
        </w:rPr>
        <w:t xml:space="preserve">, </w:t>
      </w:r>
      <w:r w:rsidRPr="00A676A4">
        <w:rPr>
          <w:rFonts w:ascii="Arial" w:hAnsi="Arial" w:cs="Arial"/>
        </w:rPr>
        <w:t xml:space="preserve">el eventual saldo pendiente por concepto de </w:t>
      </w:r>
      <w:r w:rsidRPr="00AC67B2">
        <w:rPr>
          <w:rFonts w:ascii="Arial" w:hAnsi="Arial" w:cs="Arial"/>
          <w:b/>
          <w:bCs/>
        </w:rPr>
        <w:t>EVALUACIÓN</w:t>
      </w:r>
      <w:r w:rsidRPr="00A676A4">
        <w:rPr>
          <w:rFonts w:ascii="Arial" w:hAnsi="Arial" w:cs="Arial"/>
        </w:rPr>
        <w:t xml:space="preserve">, correspondiente a </w:t>
      </w:r>
      <w:r w:rsidRPr="00A676A4">
        <w:rPr>
          <w:rFonts w:ascii="Arial" w:eastAsia="Times New Roman" w:hAnsi="Arial" w:cs="Arial"/>
          <w:shd w:val="clear" w:color="auto" w:fill="FFFFFF"/>
          <w:lang w:eastAsia="es-CO"/>
        </w:rPr>
        <w:t>VEINTI DOS MIL PESOS ($22.200) M/cte.,</w:t>
      </w:r>
      <w:r w:rsidRPr="00A676A4">
        <w:rPr>
          <w:rFonts w:ascii="Arial" w:hAnsi="Arial" w:cs="Arial"/>
        </w:rPr>
        <w:t xml:space="preserve"> </w:t>
      </w:r>
      <w:r w:rsidR="00AC67B2">
        <w:rPr>
          <w:rFonts w:ascii="Arial" w:hAnsi="Arial" w:cs="Arial"/>
        </w:rPr>
        <w:t xml:space="preserve">se encuentra por debajo de este parámetro, por lo cual, </w:t>
      </w:r>
      <w:r w:rsidRPr="00A676A4">
        <w:rPr>
          <w:rFonts w:ascii="Arial" w:hAnsi="Arial" w:cs="Arial"/>
        </w:rPr>
        <w:t xml:space="preserve">constituye cartera de imposible recaudo y no procede su traslado a cobro coactivo, ordenándose su depuración contable, conforme al principio de costo-beneficio establecido en la citada </w:t>
      </w:r>
      <w:r>
        <w:rPr>
          <w:rFonts w:ascii="Arial" w:hAnsi="Arial" w:cs="Arial"/>
        </w:rPr>
        <w:t>R</w:t>
      </w:r>
      <w:r w:rsidRPr="00A676A4">
        <w:rPr>
          <w:rFonts w:ascii="Arial" w:hAnsi="Arial" w:cs="Arial"/>
        </w:rPr>
        <w:t>esolución.</w:t>
      </w:r>
    </w:p>
    <w:p w:rsidR="00A676A4" w:rsidRDefault="00A676A4" w:rsidP="004759C4">
      <w:pPr>
        <w:spacing w:after="0" w:line="240" w:lineRule="auto"/>
        <w:jc w:val="both"/>
        <w:rPr>
          <w:rFonts w:ascii="Arial" w:hAnsi="Arial" w:cs="Arial"/>
        </w:rPr>
      </w:pPr>
    </w:p>
    <w:p w:rsidR="00224E94" w:rsidRDefault="00A676A4" w:rsidP="00A676A4">
      <w:pPr>
        <w:spacing w:after="0" w:line="240" w:lineRule="auto"/>
        <w:jc w:val="both"/>
        <w:rPr>
          <w:rFonts w:ascii="Arial" w:hAnsi="Arial" w:cs="Arial"/>
        </w:rPr>
      </w:pPr>
      <w:r>
        <w:rPr>
          <w:rFonts w:ascii="Arial" w:hAnsi="Arial" w:cs="Arial"/>
        </w:rPr>
        <w:t xml:space="preserve">De acuerdo con lo anterior, no es procedente continuar con el presente trámite. </w:t>
      </w:r>
    </w:p>
    <w:p w:rsidR="00A676A4" w:rsidRPr="00A676A4" w:rsidRDefault="00A676A4" w:rsidP="00A676A4">
      <w:pPr>
        <w:spacing w:after="0" w:line="240" w:lineRule="auto"/>
        <w:jc w:val="both"/>
        <w:rPr>
          <w:rFonts w:ascii="Arial" w:hAnsi="Arial" w:cs="Arial"/>
        </w:rPr>
      </w:pPr>
    </w:p>
    <w:p w:rsidR="00376DB7" w:rsidRDefault="00376DB7" w:rsidP="00376DB7">
      <w:pPr>
        <w:keepNext/>
        <w:spacing w:after="0" w:line="240" w:lineRule="auto"/>
        <w:ind w:right="48"/>
        <w:jc w:val="both"/>
        <w:outlineLvl w:val="3"/>
        <w:rPr>
          <w:rFonts w:ascii="Arial" w:hAnsi="Arial" w:cs="Arial"/>
          <w:b/>
          <w:bCs/>
          <w:lang w:eastAsia="es-ES"/>
        </w:rPr>
      </w:pPr>
    </w:p>
    <w:p w:rsidR="00376DB7" w:rsidRDefault="00376DB7" w:rsidP="00376DB7">
      <w:pPr>
        <w:keepNext/>
        <w:spacing w:after="0" w:line="240" w:lineRule="auto"/>
        <w:ind w:right="48"/>
        <w:jc w:val="both"/>
        <w:outlineLvl w:val="3"/>
        <w:rPr>
          <w:rFonts w:ascii="Arial" w:hAnsi="Arial" w:cs="Arial"/>
          <w:b/>
          <w:bCs/>
          <w:lang w:eastAsia="es-ES"/>
        </w:rPr>
      </w:pPr>
      <w:r>
        <w:rPr>
          <w:rFonts w:ascii="Arial" w:hAnsi="Arial" w:cs="Arial"/>
          <w:b/>
          <w:bCs/>
          <w:lang w:eastAsia="es-ES"/>
        </w:rPr>
        <w:t>CONSIDERACIONES JURÍDICAS</w:t>
      </w:r>
    </w:p>
    <w:p w:rsidR="00376DB7" w:rsidRDefault="00376DB7" w:rsidP="00376DB7">
      <w:pPr>
        <w:spacing w:after="0" w:line="240" w:lineRule="auto"/>
        <w:ind w:right="48"/>
        <w:jc w:val="both"/>
        <w:rPr>
          <w:rFonts w:ascii="Arial" w:hAnsi="Arial" w:cs="Arial"/>
          <w:lang w:val="es-CO"/>
        </w:rPr>
      </w:pPr>
    </w:p>
    <w:p w:rsidR="00376DB7" w:rsidRDefault="00376DB7" w:rsidP="00376DB7">
      <w:pPr>
        <w:spacing w:after="0" w:line="240" w:lineRule="auto"/>
        <w:ind w:right="48"/>
        <w:jc w:val="both"/>
        <w:rPr>
          <w:rFonts w:ascii="Arial" w:hAnsi="Arial" w:cs="Arial"/>
          <w:i/>
          <w:lang w:val="es-CO"/>
        </w:rPr>
      </w:pPr>
      <w:r>
        <w:rPr>
          <w:rFonts w:ascii="Arial" w:hAnsi="Arial" w:cs="Arial"/>
          <w:lang w:val="es-CO"/>
        </w:rPr>
        <w:t>Que la Constitución Política de Colombia en el Capítulo V de la función administrativa, artículo 209, señala: “</w:t>
      </w:r>
      <w:r>
        <w:rPr>
          <w:rFonts w:ascii="Arial" w:hAnsi="Arial" w:cs="Arial"/>
          <w:i/>
          <w:lang w:val="es-CO"/>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rsidR="00376DB7" w:rsidRDefault="00376DB7" w:rsidP="00376DB7">
      <w:pPr>
        <w:spacing w:after="0" w:line="240" w:lineRule="auto"/>
        <w:ind w:right="48"/>
        <w:jc w:val="both"/>
        <w:rPr>
          <w:rFonts w:ascii="Arial" w:hAnsi="Arial" w:cs="Arial"/>
          <w:i/>
          <w:lang w:val="es-CO"/>
        </w:rPr>
      </w:pPr>
    </w:p>
    <w:p w:rsidR="00376DB7" w:rsidRDefault="00376DB7" w:rsidP="00376DB7">
      <w:pPr>
        <w:spacing w:after="0" w:line="240" w:lineRule="auto"/>
        <w:ind w:right="48"/>
        <w:jc w:val="both"/>
        <w:rPr>
          <w:rFonts w:ascii="Arial" w:hAnsi="Arial" w:cs="Arial"/>
        </w:rPr>
      </w:pPr>
      <w:r>
        <w:rPr>
          <w:rFonts w:ascii="Arial" w:hAnsi="Arial" w:cs="Arial"/>
        </w:rPr>
        <w:t>Que el artículo 31 de la Ley 99 de 1993, contempla lo relacionado con las funciones de las Corporaciones Autónomas Regionales, indicando entre ellas: “</w:t>
      </w:r>
      <w:r>
        <w:rPr>
          <w:rFonts w:ascii="Arial" w:hAnsi="Arial" w:cs="Arial"/>
          <w:i/>
          <w:iCs/>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Pr>
          <w:rFonts w:ascii="Arial" w:hAnsi="Arial" w:cs="Arial"/>
        </w:rPr>
        <w:t>”, concordante con el artículo 65 que establece las atribuciones para el Distrito Capital.</w:t>
      </w:r>
    </w:p>
    <w:p w:rsidR="00376DB7" w:rsidRDefault="00376DB7" w:rsidP="00376DB7">
      <w:pPr>
        <w:spacing w:after="0" w:line="240" w:lineRule="auto"/>
        <w:ind w:right="48"/>
        <w:jc w:val="both"/>
        <w:rPr>
          <w:rFonts w:ascii="Arial" w:hAnsi="Arial" w:cs="Arial"/>
          <w:bCs/>
          <w:lang w:val="es-CO"/>
        </w:rPr>
      </w:pPr>
    </w:p>
    <w:p w:rsidR="00E9409E" w:rsidRDefault="00376DB7" w:rsidP="00376DB7">
      <w:pPr>
        <w:spacing w:after="0" w:line="240" w:lineRule="auto"/>
        <w:ind w:right="48"/>
        <w:jc w:val="both"/>
        <w:rPr>
          <w:rFonts w:ascii="Arial" w:hAnsi="Arial" w:cs="Arial"/>
          <w:i/>
          <w:iCs/>
          <w:shd w:val="clear" w:color="auto" w:fill="FFFFFF"/>
        </w:rPr>
      </w:pPr>
      <w:r>
        <w:rPr>
          <w:rFonts w:ascii="Arial" w:hAnsi="Arial" w:cs="Arial"/>
          <w:bCs/>
        </w:rPr>
        <w:t>Que la competencia como autoridad ambiental atribuida a la Secretaría Distrital de Ambiente, se enmarca en el artículo 66 de la Ley 99 de 1993, el cual señaló las competencias de los grandes centros urbanos de la siguiente manera:</w:t>
      </w:r>
      <w:r>
        <w:rPr>
          <w:rFonts w:ascii="Arial" w:eastAsia="Times New Roman" w:hAnsi="Arial" w:cs="Arial"/>
          <w:bCs/>
          <w:lang w:eastAsia="es-CO"/>
        </w:rPr>
        <w:t xml:space="preserve"> </w:t>
      </w:r>
      <w:r>
        <w:rPr>
          <w:rFonts w:ascii="Arial" w:hAnsi="Arial" w:cs="Arial"/>
          <w:b/>
          <w:i/>
          <w:iCs/>
        </w:rPr>
        <w:t>“</w:t>
      </w:r>
      <w:r>
        <w:rPr>
          <w:rFonts w:ascii="Arial" w:hAnsi="Arial" w:cs="Arial"/>
          <w:i/>
          <w:iCs/>
        </w:rPr>
        <w:t>Artículo 66. Competencias de Grandes Centros Urbanos</w:t>
      </w:r>
      <w:r>
        <w:rPr>
          <w:rFonts w:ascii="Arial" w:hAnsi="Arial" w:cs="Arial"/>
          <w:bCs/>
          <w:i/>
          <w:iCs/>
        </w:rPr>
        <w:t>.</w:t>
      </w:r>
      <w:r>
        <w:rPr>
          <w:rFonts w:ascii="Arial" w:hAnsi="Arial" w:cs="Arial"/>
          <w:i/>
          <w:iCs/>
        </w:rPr>
        <w:t xml:space="preserve"> </w:t>
      </w:r>
      <w:r>
        <w:rPr>
          <w:rFonts w:ascii="Arial" w:hAnsi="Arial" w:cs="Arial"/>
          <w:i/>
          <w:iCs/>
          <w:u w:val="single"/>
          <w:shd w:val="clear" w:color="auto" w:fill="FFFFFF"/>
        </w:rPr>
        <w:t>Modificado por el art. 214, Decreto Nacional 1450 de 2011</w:t>
      </w:r>
      <w:r>
        <w:rPr>
          <w:rFonts w:ascii="Arial" w:hAnsi="Arial" w:cs="Arial"/>
          <w:i/>
          <w:iCs/>
          <w:shd w:val="clear" w:color="auto" w:fill="FFFFFF"/>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Pr>
          <w:rFonts w:ascii="Arial" w:hAnsi="Arial" w:cs="Arial"/>
          <w:i/>
          <w:iCs/>
        </w:rPr>
        <w:t xml:space="preserve"> (…)</w:t>
      </w:r>
      <w:r>
        <w:rPr>
          <w:rFonts w:ascii="Arial" w:hAnsi="Arial" w:cs="Arial"/>
          <w:i/>
          <w:iCs/>
          <w:shd w:val="clear" w:color="auto" w:fill="FFFFFF"/>
        </w:rPr>
        <w:t>”.</w:t>
      </w:r>
    </w:p>
    <w:p w:rsidR="00E9409E" w:rsidRDefault="00E9409E" w:rsidP="00376DB7">
      <w:pPr>
        <w:spacing w:after="0" w:line="240" w:lineRule="auto"/>
        <w:ind w:right="48"/>
        <w:jc w:val="both"/>
        <w:rPr>
          <w:rFonts w:ascii="Arial" w:hAnsi="Arial" w:cs="Arial"/>
          <w:i/>
          <w:iCs/>
          <w:shd w:val="clear" w:color="auto" w:fill="FFFFFF"/>
        </w:rPr>
      </w:pPr>
    </w:p>
    <w:p w:rsidR="00376DB7" w:rsidRDefault="00E9409E" w:rsidP="00376DB7">
      <w:pPr>
        <w:spacing w:after="0" w:line="240" w:lineRule="auto"/>
        <w:ind w:right="48"/>
        <w:jc w:val="both"/>
        <w:rPr>
          <w:rFonts w:ascii="Arial" w:hAnsi="Arial" w:cs="Arial"/>
        </w:rPr>
      </w:pPr>
      <w:r>
        <w:rPr>
          <w:rFonts w:ascii="Arial" w:hAnsi="Arial" w:cs="Arial"/>
          <w:shd w:val="clear" w:color="auto" w:fill="FFFFFF"/>
        </w:rPr>
        <w:t>Que, la Resolución No. 02841 del 15 de diciembre de 2023,</w:t>
      </w:r>
      <w:r w:rsidR="00376DB7">
        <w:rPr>
          <w:rFonts w:ascii="Arial" w:hAnsi="Arial" w:cs="Arial"/>
          <w:i/>
          <w:iCs/>
        </w:rPr>
        <w:t xml:space="preserve"> </w:t>
      </w:r>
      <w:r w:rsidRPr="00E9409E">
        <w:rPr>
          <w:rFonts w:ascii="Arial" w:hAnsi="Arial" w:cs="Arial"/>
          <w:i/>
          <w:iCs/>
        </w:rPr>
        <w:t>“Por la cual se establece cuantía para declarar que acreencias a favor de la Secretaría Distrital de Ambiente constituyen cartera de imposible recaudo y aprobar su depuración contable, de conformidad con la relación costo/beneficio</w:t>
      </w:r>
      <w:r>
        <w:rPr>
          <w:rFonts w:ascii="Arial" w:hAnsi="Arial" w:cs="Arial"/>
          <w:i/>
          <w:iCs/>
        </w:rPr>
        <w:t xml:space="preserve">”, </w:t>
      </w:r>
      <w:r>
        <w:rPr>
          <w:rFonts w:ascii="Arial" w:hAnsi="Arial" w:cs="Arial"/>
        </w:rPr>
        <w:t>prevé en su artículo segundo, lo siguiente:</w:t>
      </w:r>
    </w:p>
    <w:p w:rsidR="00E9409E" w:rsidRDefault="00E9409E" w:rsidP="00376DB7">
      <w:pPr>
        <w:spacing w:after="0" w:line="240" w:lineRule="auto"/>
        <w:ind w:right="48"/>
        <w:jc w:val="both"/>
        <w:rPr>
          <w:rFonts w:ascii="Arial" w:hAnsi="Arial" w:cs="Arial"/>
        </w:rPr>
      </w:pPr>
    </w:p>
    <w:p w:rsidR="00E9409E" w:rsidRPr="00E9409E" w:rsidRDefault="00E9409E" w:rsidP="00E9409E">
      <w:pPr>
        <w:spacing w:after="0" w:line="240" w:lineRule="auto"/>
        <w:ind w:left="567" w:right="615"/>
        <w:jc w:val="both"/>
        <w:rPr>
          <w:rFonts w:ascii="Arial" w:hAnsi="Arial" w:cs="Arial"/>
          <w:i/>
          <w:iCs/>
          <w:shd w:val="clear" w:color="auto" w:fill="FFFFFF"/>
        </w:rPr>
      </w:pPr>
      <w:r>
        <w:rPr>
          <w:rFonts w:ascii="Arial" w:hAnsi="Arial" w:cs="Arial"/>
          <w:b/>
          <w:bCs/>
          <w:i/>
          <w:iCs/>
          <w:shd w:val="clear" w:color="auto" w:fill="FFFFFF"/>
        </w:rPr>
        <w:t>“</w:t>
      </w:r>
      <w:r w:rsidRPr="00E9409E">
        <w:rPr>
          <w:rFonts w:ascii="Arial" w:hAnsi="Arial" w:cs="Arial"/>
          <w:b/>
          <w:bCs/>
          <w:i/>
          <w:iCs/>
          <w:shd w:val="clear" w:color="auto" w:fill="FFFFFF"/>
        </w:rPr>
        <w:t>ARTÍCULO 2. COSTO BENEFICIO EN EL TRASLADO A COBRO COACTIVO DE UN ACTO ADMINISTRATIVO</w:t>
      </w:r>
      <w:r w:rsidRPr="00E9409E">
        <w:rPr>
          <w:rFonts w:ascii="Arial" w:hAnsi="Arial" w:cs="Arial"/>
          <w:i/>
          <w:iCs/>
          <w:shd w:val="clear" w:color="auto" w:fill="FFFFFF"/>
        </w:rPr>
        <w:t>. Establecer cuantía en 4,72 UVT para declarar que acreencias, sujetas de ser trasladadas a la Dirección Distrital de Cobro - Subdirección de Cobro No Tributario de la Secretaría Distrital de Hacienda para el trámite de cobro coactivo, originadas a través de UN acto administrativo a favor de la Secretaría Distrital de Ambiente, constituyen cartera de imposible recaudo y aprobar su depuración contable de conformidad con la relación costo/beneficio</w:t>
      </w:r>
      <w:r>
        <w:rPr>
          <w:rFonts w:ascii="Arial" w:hAnsi="Arial" w:cs="Arial"/>
          <w:i/>
          <w:iCs/>
          <w:shd w:val="clear" w:color="auto" w:fill="FFFFFF"/>
        </w:rPr>
        <w:t>”.</w:t>
      </w:r>
    </w:p>
    <w:p w:rsidR="00376DB7" w:rsidRDefault="00376DB7" w:rsidP="00376DB7">
      <w:pPr>
        <w:spacing w:after="0" w:line="240" w:lineRule="auto"/>
        <w:ind w:right="48"/>
        <w:jc w:val="both"/>
        <w:rPr>
          <w:rFonts w:ascii="Arial" w:hAnsi="Arial" w:cs="Arial"/>
          <w:i/>
        </w:rPr>
      </w:pPr>
    </w:p>
    <w:p w:rsidR="004404A5" w:rsidRPr="004404A5" w:rsidRDefault="004404A5" w:rsidP="004404A5">
      <w:pPr>
        <w:spacing w:after="0" w:line="240" w:lineRule="auto"/>
        <w:ind w:right="48"/>
        <w:jc w:val="both"/>
        <w:rPr>
          <w:rFonts w:ascii="Arial" w:eastAsia="Times New Roman" w:hAnsi="Arial" w:cs="Arial"/>
          <w:lang w:eastAsia="es-CO"/>
        </w:rPr>
      </w:pPr>
      <w:r w:rsidRPr="004404A5">
        <w:rPr>
          <w:rFonts w:ascii="Arial" w:eastAsia="Times New Roman" w:hAnsi="Arial" w:cs="Arial"/>
          <w:lang w:eastAsia="es-CO"/>
        </w:rPr>
        <w:t>Que el Decreto 1400 de 1970 - Código de Procedimiento Civil, vigente para la época de los hechos, hoy derogado por el Código General del Proceso (Ley 1564 de 2012), en su artículo 126, dispone:</w:t>
      </w:r>
    </w:p>
    <w:p w:rsidR="004404A5" w:rsidRPr="004404A5" w:rsidRDefault="004404A5" w:rsidP="004404A5">
      <w:pPr>
        <w:spacing w:after="0" w:line="240" w:lineRule="auto"/>
        <w:ind w:right="48"/>
        <w:jc w:val="both"/>
        <w:rPr>
          <w:rFonts w:ascii="Arial" w:eastAsia="Times New Roman" w:hAnsi="Arial" w:cs="Arial"/>
          <w:lang w:eastAsia="es-CO"/>
        </w:rPr>
      </w:pPr>
    </w:p>
    <w:p w:rsidR="004404A5" w:rsidRPr="004404A5" w:rsidRDefault="004404A5" w:rsidP="004404A5">
      <w:pPr>
        <w:spacing w:after="0" w:line="240" w:lineRule="auto"/>
        <w:ind w:left="567" w:right="615"/>
        <w:jc w:val="both"/>
        <w:rPr>
          <w:rFonts w:ascii="Arial" w:eastAsia="Times New Roman" w:hAnsi="Arial" w:cs="Arial"/>
          <w:i/>
          <w:lang w:eastAsia="es-CO"/>
        </w:rPr>
      </w:pPr>
      <w:r w:rsidRPr="004404A5">
        <w:rPr>
          <w:rFonts w:ascii="Arial" w:eastAsia="Times New Roman" w:hAnsi="Arial" w:cs="Arial"/>
          <w:i/>
          <w:lang w:eastAsia="es-CO"/>
        </w:rPr>
        <w:lastRenderedPageBreak/>
        <w:t>“</w:t>
      </w:r>
      <w:r w:rsidRPr="004404A5">
        <w:rPr>
          <w:rFonts w:ascii="Arial" w:eastAsia="Times New Roman" w:hAnsi="Arial" w:cs="Arial"/>
          <w:b/>
          <w:bCs/>
          <w:i/>
          <w:lang w:eastAsia="es-CO"/>
        </w:rPr>
        <w:t>Artículo 126. Archivo de Expedientes</w:t>
      </w:r>
      <w:r w:rsidRPr="004404A5">
        <w:rPr>
          <w:rFonts w:ascii="Arial" w:eastAsia="Times New Roman" w:hAnsi="Arial" w:cs="Arial"/>
          <w:i/>
          <w:lang w:eastAsia="es-CO"/>
        </w:rPr>
        <w:t>. Concluido el proceso, los expedientes se archivarán en el despacho judicial de primera o única instancia, salvo que la ley disponga otra cosa.”</w:t>
      </w:r>
    </w:p>
    <w:p w:rsidR="00376DB7" w:rsidRDefault="00376DB7" w:rsidP="00376DB7">
      <w:pPr>
        <w:spacing w:after="0" w:line="240" w:lineRule="auto"/>
        <w:ind w:right="567"/>
        <w:jc w:val="both"/>
        <w:rPr>
          <w:rFonts w:ascii="Arial" w:hAnsi="Arial" w:cs="Arial"/>
          <w:i/>
          <w:lang w:val="es-CO"/>
        </w:rPr>
      </w:pPr>
    </w:p>
    <w:p w:rsidR="0044323F" w:rsidRPr="0044323F" w:rsidRDefault="0044323F" w:rsidP="0044323F">
      <w:pPr>
        <w:spacing w:after="0" w:line="240" w:lineRule="auto"/>
        <w:jc w:val="both"/>
        <w:rPr>
          <w:rFonts w:ascii="Arial" w:eastAsia="Arial" w:hAnsi="Arial" w:cs="Arial"/>
          <w:lang w:eastAsia="es-CO"/>
        </w:rPr>
      </w:pPr>
      <w:r w:rsidRPr="0044323F">
        <w:rPr>
          <w:rFonts w:ascii="Arial" w:eastAsia="Arial" w:hAnsi="Arial" w:cs="Arial"/>
          <w:lang w:eastAsia="es-CO"/>
        </w:rPr>
        <w:t>Que, de conformidad con lo dispuesto en el Decreto 509 de 2025, por medio del cual se reorganiza la estructura de la Secretaría Distrital de Ambiente, la Subdirección de Silvicultura tendrá como funciones las establecidas en el artículo veinticuatro, entre otras:</w:t>
      </w:r>
    </w:p>
    <w:p w:rsidR="0044323F" w:rsidRPr="0044323F" w:rsidRDefault="0044323F" w:rsidP="0044323F">
      <w:pPr>
        <w:spacing w:after="0" w:line="240" w:lineRule="auto"/>
        <w:jc w:val="both"/>
        <w:rPr>
          <w:rFonts w:ascii="Arial" w:eastAsia="Arial" w:hAnsi="Arial" w:cs="Arial"/>
          <w:lang w:eastAsia="es-CO"/>
        </w:rPr>
      </w:pPr>
    </w:p>
    <w:p w:rsidR="00E9409E" w:rsidRDefault="0044323F" w:rsidP="00E9409E">
      <w:pPr>
        <w:spacing w:after="0" w:line="240" w:lineRule="auto"/>
        <w:ind w:left="567" w:right="615"/>
        <w:jc w:val="both"/>
        <w:rPr>
          <w:rFonts w:ascii="Arial" w:eastAsia="Arial" w:hAnsi="Arial" w:cs="Arial"/>
          <w:i/>
          <w:iCs/>
          <w:lang w:eastAsia="es-CO"/>
        </w:rPr>
      </w:pPr>
      <w:r w:rsidRPr="0044323F">
        <w:rPr>
          <w:rFonts w:ascii="Arial" w:eastAsia="Arial" w:hAnsi="Arial" w:cs="Arial"/>
          <w:i/>
          <w:iCs/>
          <w:lang w:eastAsia="es-CO"/>
        </w:rPr>
        <w:t>“d. Expedir los actos administrativos de trámite y emitir los respectivos conceptos técnicos dentro de la actuación administrativa de evaluación, control y seguimiento ambiental del arbolado urbano”.</w:t>
      </w:r>
    </w:p>
    <w:p w:rsidR="00E9409E" w:rsidRDefault="00E9409E" w:rsidP="00E9409E">
      <w:pPr>
        <w:spacing w:after="0" w:line="240" w:lineRule="auto"/>
        <w:ind w:right="615"/>
        <w:jc w:val="both"/>
        <w:rPr>
          <w:rFonts w:ascii="Arial" w:eastAsia="Arial" w:hAnsi="Arial" w:cs="Arial"/>
          <w:i/>
          <w:iCs/>
          <w:lang w:eastAsia="es-CO"/>
        </w:rPr>
      </w:pPr>
    </w:p>
    <w:p w:rsidR="00E9409E" w:rsidRPr="0044323F" w:rsidRDefault="00E9409E" w:rsidP="00E9409E">
      <w:pPr>
        <w:spacing w:after="0" w:line="240" w:lineRule="auto"/>
        <w:ind w:right="615"/>
        <w:jc w:val="both"/>
        <w:rPr>
          <w:rFonts w:ascii="Arial" w:eastAsia="Arial" w:hAnsi="Arial" w:cs="Arial"/>
          <w:b/>
          <w:bCs/>
          <w:lang w:eastAsia="es-CO"/>
        </w:rPr>
      </w:pPr>
      <w:r w:rsidRPr="00E9409E">
        <w:rPr>
          <w:rFonts w:ascii="Arial" w:eastAsia="Arial" w:hAnsi="Arial" w:cs="Arial"/>
          <w:b/>
          <w:bCs/>
          <w:lang w:eastAsia="es-CO"/>
        </w:rPr>
        <w:t>ANÁLISIS JURÍDICO</w:t>
      </w:r>
    </w:p>
    <w:p w:rsidR="00376DB7" w:rsidRDefault="00376DB7" w:rsidP="00376DB7">
      <w:pPr>
        <w:spacing w:after="0" w:line="240" w:lineRule="auto"/>
        <w:ind w:right="48"/>
        <w:jc w:val="both"/>
        <w:rPr>
          <w:rFonts w:ascii="Arial" w:hAnsi="Arial" w:cs="Arial"/>
        </w:rPr>
      </w:pPr>
    </w:p>
    <w:p w:rsidR="00376DB7" w:rsidRPr="00F70B1E" w:rsidRDefault="00376DB7" w:rsidP="00DF057A">
      <w:pPr>
        <w:spacing w:after="0" w:line="240" w:lineRule="auto"/>
        <w:ind w:right="48"/>
        <w:jc w:val="both"/>
        <w:rPr>
          <w:rFonts w:ascii="Arial" w:hAnsi="Arial" w:cs="Arial"/>
        </w:rPr>
      </w:pPr>
      <w:r w:rsidRPr="00F70B1E">
        <w:rPr>
          <w:rFonts w:ascii="Arial" w:hAnsi="Arial" w:cs="Arial"/>
        </w:rPr>
        <w:t>Que</w:t>
      </w:r>
      <w:r>
        <w:rPr>
          <w:rFonts w:ascii="Arial" w:hAnsi="Arial" w:cs="Arial"/>
        </w:rPr>
        <w:t>,</w:t>
      </w:r>
      <w:r w:rsidRPr="00F70B1E">
        <w:rPr>
          <w:rFonts w:ascii="Arial" w:hAnsi="Arial" w:cs="Arial"/>
        </w:rPr>
        <w:t xml:space="preserve"> una vez evidenciado el cumplimento de las obligaciones derivadas del Concepto Técnico No. </w:t>
      </w:r>
      <w:r w:rsidR="00E9409E" w:rsidRPr="00E9409E">
        <w:rPr>
          <w:rFonts w:ascii="Arial" w:hAnsi="Arial" w:cs="Arial"/>
        </w:rPr>
        <w:t>2008GTS1247 del 3 de junio de 2008</w:t>
      </w:r>
      <w:r w:rsidRPr="00F70B1E">
        <w:rPr>
          <w:rFonts w:ascii="Arial" w:hAnsi="Arial" w:cs="Arial"/>
        </w:rPr>
        <w:t xml:space="preserve">, por parte </w:t>
      </w:r>
      <w:r w:rsidR="00E9409E">
        <w:rPr>
          <w:rFonts w:ascii="Arial" w:hAnsi="Arial" w:cs="Arial"/>
        </w:rPr>
        <w:t xml:space="preserve">del </w:t>
      </w:r>
      <w:r w:rsidR="00E9409E" w:rsidRPr="00E9409E">
        <w:rPr>
          <w:rFonts w:ascii="Arial" w:hAnsi="Arial" w:cs="Arial"/>
        </w:rPr>
        <w:t>MAYOR CARLOS ALBERTO BENITES ROJAS</w:t>
      </w:r>
      <w:r w:rsidR="00DF057A">
        <w:rPr>
          <w:rFonts w:ascii="Arial" w:hAnsi="Arial" w:cs="Arial"/>
        </w:rPr>
        <w:t xml:space="preserve"> </w:t>
      </w:r>
      <w:r w:rsidR="00DF057A" w:rsidRPr="00DF057A">
        <w:rPr>
          <w:rFonts w:ascii="Arial" w:hAnsi="Arial" w:cs="Arial"/>
        </w:rPr>
        <w:t>identificado con cédula de ciudadanía No. 93.391.868</w:t>
      </w:r>
      <w:r w:rsidR="00E9409E" w:rsidRPr="00E9409E">
        <w:rPr>
          <w:rFonts w:ascii="Arial" w:hAnsi="Arial" w:cs="Arial"/>
        </w:rPr>
        <w:t>,</w:t>
      </w:r>
      <w:r w:rsidR="00E9409E">
        <w:rPr>
          <w:rFonts w:ascii="Arial" w:hAnsi="Arial" w:cs="Arial"/>
        </w:rPr>
        <w:t xml:space="preserve"> </w:t>
      </w:r>
      <w:r w:rsidR="00E9409E" w:rsidRPr="00E9409E">
        <w:rPr>
          <w:rFonts w:ascii="Arial" w:hAnsi="Arial" w:cs="Arial"/>
        </w:rPr>
        <w:t xml:space="preserve">tanto en lo relativo a la ejecución de las actividades silviculturales autorizadas como a la </w:t>
      </w:r>
      <w:r w:rsidR="00E9409E">
        <w:rPr>
          <w:rFonts w:ascii="Arial" w:hAnsi="Arial" w:cs="Arial"/>
        </w:rPr>
        <w:t xml:space="preserve">medida de </w:t>
      </w:r>
      <w:r w:rsidR="00E9409E" w:rsidRPr="00E9409E">
        <w:rPr>
          <w:rFonts w:ascii="Arial" w:hAnsi="Arial" w:cs="Arial"/>
          <w:b/>
          <w:bCs/>
        </w:rPr>
        <w:t>COMPENSACIÓN</w:t>
      </w:r>
      <w:r w:rsidR="00E9409E" w:rsidRPr="00E9409E">
        <w:rPr>
          <w:rFonts w:ascii="Arial" w:hAnsi="Arial" w:cs="Arial"/>
        </w:rPr>
        <w:t xml:space="preserve"> mediante la </w:t>
      </w:r>
      <w:r w:rsidR="00E9409E" w:rsidRPr="00E9409E">
        <w:rPr>
          <w:rFonts w:ascii="Arial" w:hAnsi="Arial" w:cs="Arial"/>
          <w:b/>
          <w:bCs/>
        </w:rPr>
        <w:t>PLANTACIÓN</w:t>
      </w:r>
      <w:r w:rsidR="00E9409E" w:rsidRPr="00E9409E">
        <w:rPr>
          <w:rFonts w:ascii="Arial" w:hAnsi="Arial" w:cs="Arial"/>
        </w:rPr>
        <w:t xml:space="preserve"> de los siete (7) individuos arbóreos, y </w:t>
      </w:r>
      <w:r w:rsidR="00645AEC">
        <w:rPr>
          <w:rFonts w:ascii="Arial" w:hAnsi="Arial" w:cs="Arial"/>
        </w:rPr>
        <w:t xml:space="preserve">dado que se </w:t>
      </w:r>
      <w:r w:rsidR="00E9409E" w:rsidRPr="00E9409E">
        <w:rPr>
          <w:rFonts w:ascii="Arial" w:hAnsi="Arial" w:cs="Arial"/>
        </w:rPr>
        <w:t>establec</w:t>
      </w:r>
      <w:r w:rsidR="00645AEC">
        <w:rPr>
          <w:rFonts w:ascii="Arial" w:hAnsi="Arial" w:cs="Arial"/>
        </w:rPr>
        <w:t>ió</w:t>
      </w:r>
      <w:bookmarkStart w:id="4" w:name="_GoBack"/>
      <w:bookmarkEnd w:id="4"/>
      <w:r w:rsidR="00E9409E" w:rsidRPr="00E9409E">
        <w:rPr>
          <w:rFonts w:ascii="Arial" w:hAnsi="Arial" w:cs="Arial"/>
        </w:rPr>
        <w:t xml:space="preserve"> que el cobro por concepto de </w:t>
      </w:r>
      <w:r w:rsidR="00E9409E" w:rsidRPr="00AC67B2">
        <w:rPr>
          <w:rFonts w:ascii="Arial" w:hAnsi="Arial" w:cs="Arial"/>
          <w:b/>
          <w:bCs/>
        </w:rPr>
        <w:t>EVALUACIÓN</w:t>
      </w:r>
      <w:r w:rsidR="00E9409E">
        <w:rPr>
          <w:rFonts w:ascii="Arial" w:hAnsi="Arial" w:cs="Arial"/>
        </w:rPr>
        <w:t xml:space="preserve"> </w:t>
      </w:r>
      <w:r w:rsidR="00E9409E" w:rsidRPr="00E9409E">
        <w:rPr>
          <w:rFonts w:ascii="Arial" w:hAnsi="Arial" w:cs="Arial"/>
        </w:rPr>
        <w:t>—equivalente a VEINTI DOS MIL PESOS ($22.200) M/cte., — constituye cartera de imposible recaudo conforme al artículo 2 de la Resolución SDA 02841 de 2023</w:t>
      </w:r>
      <w:r w:rsidR="00E9409E">
        <w:rPr>
          <w:rFonts w:ascii="Arial" w:hAnsi="Arial" w:cs="Arial"/>
        </w:rPr>
        <w:t xml:space="preserve">, </w:t>
      </w:r>
      <w:r w:rsidR="00E9409E" w:rsidRPr="00E9409E">
        <w:rPr>
          <w:rFonts w:ascii="Arial" w:hAnsi="Arial" w:cs="Arial"/>
        </w:rPr>
        <w:t xml:space="preserve">no subsisten actuaciones pendientes dentro del </w:t>
      </w:r>
      <w:r w:rsidR="00E9409E">
        <w:rPr>
          <w:rFonts w:ascii="Arial" w:hAnsi="Arial" w:cs="Arial"/>
        </w:rPr>
        <w:t>presente trámite permiso.</w:t>
      </w:r>
      <w:r w:rsidR="00E9409E" w:rsidRPr="00E9409E">
        <w:rPr>
          <w:rFonts w:ascii="Arial" w:hAnsi="Arial" w:cs="Arial"/>
        </w:rPr>
        <w:t xml:space="preserve"> En consecuencia, </w:t>
      </w:r>
      <w:r w:rsidR="00E9409E">
        <w:rPr>
          <w:rFonts w:ascii="Arial" w:hAnsi="Arial" w:cs="Arial"/>
        </w:rPr>
        <w:t xml:space="preserve">se </w:t>
      </w:r>
      <w:r w:rsidR="00E9409E" w:rsidRPr="00E9409E">
        <w:rPr>
          <w:rFonts w:ascii="Arial" w:hAnsi="Arial" w:cs="Arial"/>
        </w:rPr>
        <w:t>procede</w:t>
      </w:r>
      <w:r w:rsidR="00E9409E">
        <w:rPr>
          <w:rFonts w:ascii="Arial" w:hAnsi="Arial" w:cs="Arial"/>
        </w:rPr>
        <w:t>rá</w:t>
      </w:r>
      <w:r w:rsidR="00E9409E" w:rsidRPr="00E9409E">
        <w:rPr>
          <w:rFonts w:ascii="Arial" w:hAnsi="Arial" w:cs="Arial"/>
        </w:rPr>
        <w:t xml:space="preserve"> </w:t>
      </w:r>
      <w:r w:rsidR="00E9409E">
        <w:rPr>
          <w:rFonts w:ascii="Arial" w:hAnsi="Arial" w:cs="Arial"/>
        </w:rPr>
        <w:t>a</w:t>
      </w:r>
      <w:r w:rsidR="00E9409E" w:rsidRPr="00E9409E">
        <w:rPr>
          <w:rFonts w:ascii="Arial" w:hAnsi="Arial" w:cs="Arial"/>
        </w:rPr>
        <w:t xml:space="preserve">l archivo </w:t>
      </w:r>
      <w:r w:rsidR="00E9409E">
        <w:rPr>
          <w:rFonts w:ascii="Arial" w:hAnsi="Arial" w:cs="Arial"/>
        </w:rPr>
        <w:t xml:space="preserve">del expediente </w:t>
      </w:r>
      <w:r w:rsidR="00DF057A" w:rsidRPr="00DF057A">
        <w:rPr>
          <w:rFonts w:ascii="Arial" w:hAnsi="Arial" w:cs="Arial"/>
        </w:rPr>
        <w:t>SDA-03-2025-2166</w:t>
      </w:r>
      <w:r w:rsidR="00E9409E">
        <w:rPr>
          <w:rFonts w:ascii="Arial" w:hAnsi="Arial" w:cs="Arial"/>
        </w:rPr>
        <w:t xml:space="preserve">, </w:t>
      </w:r>
      <w:r w:rsidRPr="00F70B1E">
        <w:rPr>
          <w:rFonts w:ascii="Arial" w:hAnsi="Arial" w:cs="Arial"/>
        </w:rPr>
        <w:t>sin perjuicio de las acciones administrativas, civiles o penales a que hubiere lugar.</w:t>
      </w:r>
    </w:p>
    <w:p w:rsidR="00376DB7" w:rsidRPr="00F70B1E" w:rsidRDefault="00376DB7" w:rsidP="00376DB7">
      <w:pPr>
        <w:spacing w:after="0" w:line="240" w:lineRule="auto"/>
        <w:ind w:right="48"/>
        <w:jc w:val="both"/>
        <w:rPr>
          <w:rFonts w:ascii="Arial" w:hAnsi="Arial" w:cs="Arial"/>
        </w:rPr>
      </w:pPr>
    </w:p>
    <w:p w:rsidR="00376DB7" w:rsidRPr="00F70B1E" w:rsidRDefault="00376DB7" w:rsidP="00376DB7">
      <w:pPr>
        <w:spacing w:after="0" w:line="240" w:lineRule="auto"/>
        <w:ind w:right="48"/>
        <w:jc w:val="both"/>
        <w:rPr>
          <w:rFonts w:ascii="Arial" w:hAnsi="Arial" w:cs="Arial"/>
        </w:rPr>
      </w:pPr>
      <w:r w:rsidRPr="00F70B1E">
        <w:rPr>
          <w:rFonts w:ascii="Arial" w:hAnsi="Arial" w:cs="Arial"/>
        </w:rPr>
        <w:t xml:space="preserve">En mérito de lo expuesto,  </w:t>
      </w:r>
    </w:p>
    <w:p w:rsidR="00376DB7" w:rsidRDefault="00376DB7" w:rsidP="00376DB7">
      <w:pPr>
        <w:spacing w:after="0" w:line="240" w:lineRule="auto"/>
        <w:ind w:right="48"/>
        <w:jc w:val="center"/>
        <w:rPr>
          <w:rFonts w:ascii="Arial" w:hAnsi="Arial" w:cs="Arial"/>
          <w:b/>
        </w:rPr>
      </w:pPr>
    </w:p>
    <w:p w:rsidR="00376DB7" w:rsidRDefault="00376DB7" w:rsidP="00376DB7">
      <w:pPr>
        <w:spacing w:after="0" w:line="240" w:lineRule="auto"/>
        <w:ind w:right="48"/>
        <w:jc w:val="center"/>
        <w:rPr>
          <w:rFonts w:ascii="Arial" w:hAnsi="Arial" w:cs="Arial"/>
          <w:b/>
        </w:rPr>
      </w:pPr>
      <w:r>
        <w:rPr>
          <w:rFonts w:ascii="Arial" w:hAnsi="Arial" w:cs="Arial"/>
          <w:b/>
        </w:rPr>
        <w:t>DISPONE</w:t>
      </w:r>
    </w:p>
    <w:p w:rsidR="00376DB7" w:rsidRDefault="00376DB7" w:rsidP="00376DB7">
      <w:pPr>
        <w:spacing w:after="0" w:line="240" w:lineRule="auto"/>
        <w:ind w:right="48"/>
        <w:jc w:val="both"/>
        <w:rPr>
          <w:rFonts w:ascii="Arial" w:hAnsi="Arial" w:cs="Arial"/>
          <w:b/>
        </w:rPr>
      </w:pPr>
    </w:p>
    <w:p w:rsidR="00376DB7" w:rsidRPr="00BA2F72" w:rsidRDefault="00376DB7" w:rsidP="00DF057A">
      <w:pPr>
        <w:spacing w:after="0" w:line="240" w:lineRule="auto"/>
        <w:ind w:right="48"/>
        <w:jc w:val="both"/>
        <w:rPr>
          <w:rFonts w:ascii="Arial" w:hAnsi="Arial" w:cs="Arial"/>
          <w:b/>
          <w:bCs/>
        </w:rPr>
      </w:pPr>
      <w:r>
        <w:rPr>
          <w:rFonts w:ascii="Arial" w:hAnsi="Arial" w:cs="Arial"/>
          <w:b/>
        </w:rPr>
        <w:t>ARTÍCULO PRIMERO.</w:t>
      </w:r>
      <w:r>
        <w:rPr>
          <w:rFonts w:ascii="Arial" w:hAnsi="Arial" w:cs="Arial"/>
        </w:rPr>
        <w:t xml:space="preserve"> </w:t>
      </w:r>
      <w:r>
        <w:rPr>
          <w:rFonts w:ascii="Arial" w:eastAsia="Times New Roman" w:hAnsi="Arial" w:cs="Arial"/>
          <w:lang w:val="es-CO"/>
        </w:rPr>
        <w:t>Or</w:t>
      </w:r>
      <w:r>
        <w:rPr>
          <w:rFonts w:ascii="Arial" w:eastAsia="Times New Roman" w:hAnsi="Arial" w:cs="Arial"/>
        </w:rPr>
        <w:t xml:space="preserve">denar el ARCHIVO de las actuaciones administrativas contenidas en el expediente </w:t>
      </w:r>
      <w:r w:rsidR="00DF057A" w:rsidRPr="00DF057A">
        <w:rPr>
          <w:rFonts w:ascii="Arial" w:hAnsi="Arial" w:cs="Arial"/>
          <w:b/>
          <w:bCs/>
        </w:rPr>
        <w:t>SDA-03-2025-2166</w:t>
      </w:r>
      <w:r>
        <w:rPr>
          <w:rFonts w:ascii="Arial" w:hAnsi="Arial" w:cs="Arial"/>
          <w:b/>
          <w:bCs/>
        </w:rPr>
        <w:t xml:space="preserve">, </w:t>
      </w:r>
      <w:r>
        <w:rPr>
          <w:rFonts w:ascii="Arial" w:eastAsia="Times New Roman" w:hAnsi="Arial" w:cs="Arial"/>
        </w:rPr>
        <w:t xml:space="preserve">por las razones expuestas en la parte motiva del presente acto administrativo. </w:t>
      </w:r>
    </w:p>
    <w:p w:rsidR="00376DB7" w:rsidRDefault="00376DB7" w:rsidP="00376DB7">
      <w:pPr>
        <w:spacing w:after="0" w:line="240" w:lineRule="auto"/>
        <w:ind w:right="48"/>
        <w:jc w:val="both"/>
        <w:rPr>
          <w:rFonts w:ascii="Arial" w:eastAsia="Times New Roman" w:hAnsi="Arial" w:cs="Arial"/>
          <w:color w:val="7030A0"/>
        </w:rPr>
      </w:pPr>
    </w:p>
    <w:p w:rsidR="00376DB7" w:rsidRDefault="00376DB7" w:rsidP="00376DB7">
      <w:pPr>
        <w:spacing w:after="0" w:line="240" w:lineRule="auto"/>
        <w:ind w:right="48"/>
        <w:jc w:val="both"/>
        <w:rPr>
          <w:rFonts w:ascii="Arial" w:hAnsi="Arial" w:cs="Arial"/>
          <w:color w:val="7030A0"/>
          <w:lang w:val="es-CO"/>
        </w:rPr>
      </w:pPr>
      <w:r>
        <w:rPr>
          <w:rFonts w:ascii="Arial" w:hAnsi="Arial" w:cs="Arial"/>
          <w:b/>
          <w:lang w:val="es-CO"/>
        </w:rPr>
        <w:t>ARTÍCULO SEGUNDO.</w:t>
      </w:r>
      <w:r>
        <w:rPr>
          <w:rFonts w:ascii="Arial" w:hAnsi="Arial" w:cs="Arial"/>
          <w:lang w:val="es-CO"/>
        </w:rPr>
        <w:t xml:space="preserve"> Comunicar el presente acto administrativo</w:t>
      </w:r>
      <w:r w:rsidR="004404A5">
        <w:rPr>
          <w:rFonts w:ascii="Arial" w:hAnsi="Arial" w:cs="Arial"/>
          <w:lang w:val="es-CO"/>
        </w:rPr>
        <w:t xml:space="preserve"> </w:t>
      </w:r>
      <w:r w:rsidR="00DF057A">
        <w:rPr>
          <w:rFonts w:ascii="Arial" w:hAnsi="Arial" w:cs="Arial"/>
          <w:lang w:val="es-CO"/>
        </w:rPr>
        <w:t xml:space="preserve">al </w:t>
      </w:r>
      <w:r w:rsidR="00DF057A" w:rsidRPr="00DF057A">
        <w:rPr>
          <w:rFonts w:ascii="Arial" w:hAnsi="Arial" w:cs="Arial"/>
        </w:rPr>
        <w:t>MAYOR CARLOS ALBERTO BENITES ROJAS</w:t>
      </w:r>
      <w:r w:rsidR="00DF057A" w:rsidRPr="00DF057A">
        <w:rPr>
          <w:rFonts w:ascii="Arial" w:hAnsi="Arial" w:cs="Arial"/>
          <w:lang w:val="es-CO"/>
        </w:rPr>
        <w:t xml:space="preserve"> </w:t>
      </w:r>
      <w:r w:rsidR="00DF057A" w:rsidRPr="00DF057A">
        <w:rPr>
          <w:rFonts w:ascii="Arial" w:hAnsi="Arial" w:cs="Arial"/>
        </w:rPr>
        <w:t xml:space="preserve">identificado con cédula de ciudadanía No. 93.391.868, </w:t>
      </w:r>
      <w:r>
        <w:rPr>
          <w:rFonts w:ascii="Arial" w:hAnsi="Arial" w:cs="Arial"/>
          <w:lang w:val="es-CO"/>
        </w:rPr>
        <w:t>en l</w:t>
      </w:r>
      <w:r w:rsidRPr="00356692">
        <w:rPr>
          <w:rFonts w:ascii="Arial" w:hAnsi="Arial" w:cs="Arial"/>
        </w:rPr>
        <w:t xml:space="preserve">a </w:t>
      </w:r>
      <w:r w:rsidR="00DF057A">
        <w:rPr>
          <w:rFonts w:ascii="Arial" w:hAnsi="Arial" w:cs="Arial"/>
        </w:rPr>
        <w:t xml:space="preserve">transversal 33 No. 47 A – 35 Sur </w:t>
      </w:r>
      <w:r>
        <w:rPr>
          <w:rFonts w:ascii="Arial" w:hAnsi="Arial" w:cs="Arial"/>
          <w:lang w:val="es-CO"/>
        </w:rPr>
        <w:t>de la ciudad de Bogotá D.C.</w:t>
      </w:r>
    </w:p>
    <w:p w:rsidR="00376DB7" w:rsidRDefault="00376DB7" w:rsidP="00376DB7">
      <w:pPr>
        <w:spacing w:after="0" w:line="240" w:lineRule="auto"/>
        <w:ind w:right="48"/>
        <w:jc w:val="both"/>
        <w:rPr>
          <w:rFonts w:ascii="Arial" w:eastAsia="Times New Roman" w:hAnsi="Arial" w:cs="Arial"/>
          <w:color w:val="7030A0"/>
          <w:lang w:eastAsia="es-CO"/>
        </w:rPr>
      </w:pPr>
    </w:p>
    <w:p w:rsidR="00376DB7" w:rsidRDefault="00376DB7" w:rsidP="00376DB7">
      <w:pPr>
        <w:spacing w:after="0" w:line="240" w:lineRule="auto"/>
        <w:ind w:right="48"/>
        <w:jc w:val="both"/>
        <w:rPr>
          <w:rFonts w:ascii="Arial" w:hAnsi="Arial" w:cs="Arial"/>
          <w:lang w:val="es-CO"/>
        </w:rPr>
      </w:pPr>
      <w:r>
        <w:rPr>
          <w:rFonts w:ascii="Arial" w:hAnsi="Arial" w:cs="Arial"/>
          <w:b/>
        </w:rPr>
        <w:t xml:space="preserve">ARTÍCULO TERCERO. </w:t>
      </w:r>
      <w:r>
        <w:rPr>
          <w:rFonts w:ascii="Arial" w:hAnsi="Arial" w:cs="Arial"/>
        </w:rPr>
        <w:t>R</w:t>
      </w:r>
      <w:r>
        <w:rPr>
          <w:rFonts w:ascii="Arial" w:hAnsi="Arial" w:cs="Arial"/>
          <w:lang w:val="es-CO"/>
        </w:rPr>
        <w:t xml:space="preserve">emitir copia del presente acto administrativo, con los soportes de comunicación, a la </w:t>
      </w:r>
      <w:r w:rsidR="00DF057A" w:rsidRPr="00DF057A">
        <w:rPr>
          <w:rFonts w:ascii="Arial" w:hAnsi="Arial" w:cs="Arial"/>
        </w:rPr>
        <w:t>Dirección Administrativa y Financiera de esta Entidad</w:t>
      </w:r>
      <w:r>
        <w:rPr>
          <w:rFonts w:ascii="Arial" w:hAnsi="Arial" w:cs="Arial"/>
          <w:lang w:val="es-CO"/>
        </w:rPr>
        <w:t>, para lo de su competencia.</w:t>
      </w:r>
    </w:p>
    <w:p w:rsidR="00376DB7" w:rsidRDefault="00376DB7" w:rsidP="00376DB7">
      <w:pPr>
        <w:spacing w:after="0" w:line="240" w:lineRule="auto"/>
        <w:ind w:right="48"/>
        <w:jc w:val="both"/>
        <w:rPr>
          <w:rFonts w:ascii="Arial" w:hAnsi="Arial" w:cs="Arial"/>
          <w:b/>
        </w:rPr>
      </w:pPr>
    </w:p>
    <w:p w:rsidR="00376DB7" w:rsidRDefault="00376DB7" w:rsidP="00376DB7">
      <w:pPr>
        <w:spacing w:after="0" w:line="240" w:lineRule="auto"/>
        <w:ind w:right="48"/>
        <w:jc w:val="both"/>
        <w:rPr>
          <w:rFonts w:ascii="Arial" w:hAnsi="Arial" w:cs="Arial"/>
        </w:rPr>
      </w:pPr>
      <w:r>
        <w:rPr>
          <w:rFonts w:ascii="Arial" w:hAnsi="Arial" w:cs="Arial"/>
          <w:b/>
        </w:rPr>
        <w:lastRenderedPageBreak/>
        <w:t>ARTÍCULO CUARTO.</w:t>
      </w:r>
      <w:r>
        <w:rPr>
          <w:rFonts w:ascii="Arial" w:hAnsi="Arial" w:cs="Arial"/>
        </w:rPr>
        <w:t xml:space="preserve"> Remitir el expediente </w:t>
      </w:r>
      <w:r w:rsidRPr="003301D2">
        <w:rPr>
          <w:rFonts w:ascii="Arial" w:hAnsi="Arial" w:cs="Arial"/>
          <w:b/>
          <w:bCs/>
        </w:rPr>
        <w:t>SDA-03-2025-</w:t>
      </w:r>
      <w:r>
        <w:rPr>
          <w:rFonts w:ascii="Arial" w:hAnsi="Arial" w:cs="Arial"/>
          <w:b/>
          <w:bCs/>
        </w:rPr>
        <w:t>216</w:t>
      </w:r>
      <w:r w:rsidR="00DF057A">
        <w:rPr>
          <w:rFonts w:ascii="Arial" w:hAnsi="Arial" w:cs="Arial"/>
          <w:b/>
          <w:bCs/>
        </w:rPr>
        <w:t>6</w:t>
      </w:r>
      <w:r>
        <w:rPr>
          <w:rFonts w:ascii="Arial" w:hAnsi="Arial" w:cs="Arial"/>
          <w:b/>
          <w:bCs/>
        </w:rPr>
        <w:t>,</w:t>
      </w:r>
      <w:r>
        <w:rPr>
          <w:rFonts w:ascii="Arial" w:hAnsi="Arial" w:cs="Arial"/>
        </w:rPr>
        <w:t xml:space="preserve"> al grupo de expedientes de esta autoridad ambiental, a efectos de que proceda su archivo definitivo. </w:t>
      </w:r>
    </w:p>
    <w:p w:rsidR="00376DB7" w:rsidRDefault="00376DB7" w:rsidP="00376DB7">
      <w:pPr>
        <w:spacing w:after="0" w:line="240" w:lineRule="auto"/>
        <w:ind w:right="48"/>
        <w:jc w:val="both"/>
        <w:rPr>
          <w:rFonts w:ascii="Arial" w:hAnsi="Arial" w:cs="Arial"/>
          <w:color w:val="7030A0"/>
        </w:rPr>
      </w:pPr>
    </w:p>
    <w:p w:rsidR="00376DB7" w:rsidRDefault="00376DB7" w:rsidP="00376DB7">
      <w:pPr>
        <w:spacing w:after="0" w:line="240" w:lineRule="auto"/>
        <w:ind w:right="48"/>
        <w:jc w:val="both"/>
        <w:rPr>
          <w:rFonts w:ascii="Arial" w:hAnsi="Arial" w:cs="Arial"/>
        </w:rPr>
      </w:pPr>
      <w:r>
        <w:rPr>
          <w:rFonts w:ascii="Arial" w:hAnsi="Arial" w:cs="Arial"/>
          <w:b/>
        </w:rPr>
        <w:t xml:space="preserve">ARTÍCULO QUINTO. </w:t>
      </w:r>
      <w:r w:rsidRPr="00013297">
        <w:rPr>
          <w:rFonts w:ascii="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rsidR="00376DB7" w:rsidRDefault="00376DB7" w:rsidP="00376DB7">
      <w:pPr>
        <w:spacing w:after="0" w:line="240" w:lineRule="auto"/>
        <w:ind w:right="48"/>
        <w:jc w:val="both"/>
        <w:rPr>
          <w:rFonts w:ascii="Arial" w:hAnsi="Arial" w:cs="Arial"/>
        </w:rPr>
      </w:pPr>
    </w:p>
    <w:p w:rsidR="00DF057A" w:rsidRPr="00DF057A" w:rsidRDefault="00376DB7" w:rsidP="00DF057A">
      <w:pPr>
        <w:spacing w:after="0" w:line="240" w:lineRule="auto"/>
        <w:ind w:right="48"/>
        <w:jc w:val="both"/>
        <w:rPr>
          <w:rFonts w:ascii="Arial" w:hAnsi="Arial" w:cs="Arial"/>
        </w:rPr>
      </w:pPr>
      <w:r w:rsidRPr="00013297">
        <w:rPr>
          <w:rFonts w:ascii="Arial" w:hAnsi="Arial" w:cs="Arial"/>
          <w:b/>
          <w:bCs/>
        </w:rPr>
        <w:t>ARTÍCULO SEXTO.</w:t>
      </w:r>
      <w:r>
        <w:rPr>
          <w:rFonts w:ascii="Arial" w:hAnsi="Arial" w:cs="Arial"/>
        </w:rPr>
        <w:t xml:space="preserve"> </w:t>
      </w:r>
      <w:r w:rsidR="00DF057A" w:rsidRPr="00DF057A">
        <w:rPr>
          <w:rFonts w:ascii="Arial" w:hAnsi="Arial" w:cs="Arial"/>
        </w:rPr>
        <w:t>Contra el presente acto administrativo no procede recurso alguno de conformidad con lo dispuesto en el artículo 49 del Decreto 01 de 1984 - Código Contencioso Administrativo.</w:t>
      </w:r>
    </w:p>
    <w:p w:rsidR="00376DB7" w:rsidRDefault="00376DB7" w:rsidP="00376DB7">
      <w:pPr>
        <w:spacing w:after="0" w:line="240" w:lineRule="auto"/>
        <w:ind w:right="48"/>
        <w:jc w:val="both"/>
        <w:rPr>
          <w:rFonts w:ascii="Arial" w:hAnsi="Arial" w:cs="Arial"/>
        </w:rPr>
      </w:pPr>
    </w:p>
    <w:p w:rsidR="00376DB7" w:rsidRDefault="00376DB7" w:rsidP="00376DB7">
      <w:pPr>
        <w:spacing w:after="0" w:line="240" w:lineRule="auto"/>
        <w:ind w:right="48"/>
        <w:jc w:val="both"/>
        <w:rPr>
          <w:rFonts w:ascii="Arial" w:hAnsi="Arial" w:cs="Arial"/>
        </w:rPr>
      </w:pPr>
    </w:p>
    <w:p w:rsidR="00376DB7" w:rsidRDefault="00376DB7" w:rsidP="00376DB7">
      <w:pPr>
        <w:spacing w:after="0" w:line="240" w:lineRule="auto"/>
        <w:ind w:right="48"/>
        <w:jc w:val="center"/>
        <w:rPr>
          <w:rFonts w:ascii="Arial" w:hAnsi="Arial" w:cs="Arial"/>
          <w:b/>
        </w:rPr>
      </w:pPr>
      <w:r>
        <w:rPr>
          <w:rFonts w:ascii="Arial" w:hAnsi="Arial" w:cs="Arial"/>
          <w:b/>
        </w:rPr>
        <w:t>COMUNÍQUESE Y CÚMPLASE</w:t>
      </w:r>
    </w:p>
    <w:p w:rsidR="00BE0548" w:rsidRPr="00D3506E" w:rsidRDefault="00BE0548" w:rsidP="00D3506E">
      <w:pPr>
        <w:spacing w:after="0" w:line="240" w:lineRule="auto"/>
        <w:rPr>
          <w:rFonts w:ascii="Arial" w:hAnsi="Arial" w:cs="Arial"/>
        </w:rPr>
      </w:pPr>
    </w:p>
    <w:p w:rsidR="00BE0548" w:rsidRDefault="00BE0548" w:rsidP="00855A3B">
      <w:pPr>
        <w:spacing w:after="0" w:line="240" w:lineRule="auto"/>
        <w:sectPr w:rsidR="00BE0548" w:rsidSect="002E3169">
          <w:type w:val="continuous"/>
          <w:pgSz w:w="12240" w:h="15840" w:code="1"/>
          <w:pgMar w:top="2268" w:right="1418" w:bottom="2268" w:left="1418" w:header="0" w:footer="0" w:gutter="0"/>
          <w:cols w:space="708"/>
          <w:formProt w:val="0"/>
          <w:docGrid w:linePitch="360"/>
        </w:sectPr>
      </w:pPr>
    </w:p>
    <w:p w:rsidR="00BE0548" w:rsidRPr="00D3506E" w:rsidRDefault="00D86C19"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5" w:name="dia1"/>
      <w:r w:rsidRPr="00D3506E">
        <w:rPr>
          <w:rFonts w:ascii="Arial" w:hAnsi="Arial" w:cs="Arial"/>
          <w:b/>
          <w:sz w:val="24"/>
          <w:szCs w:val="24"/>
        </w:rPr>
        <w:t>xxx</w:t>
      </w:r>
      <w:bookmarkEnd w:id="5"/>
      <w:r w:rsidRPr="00D3506E">
        <w:rPr>
          <w:rFonts w:ascii="Arial" w:hAnsi="Arial" w:cs="Arial"/>
          <w:b/>
          <w:sz w:val="24"/>
          <w:szCs w:val="24"/>
        </w:rPr>
        <w:t xml:space="preserve"> días del mes de  </w:t>
      </w:r>
      <w:bookmarkStart w:id="6" w:name="mes1"/>
      <w:r w:rsidRPr="00D3506E">
        <w:rPr>
          <w:rFonts w:ascii="Arial" w:hAnsi="Arial" w:cs="Arial"/>
          <w:b/>
          <w:sz w:val="24"/>
          <w:szCs w:val="24"/>
        </w:rPr>
        <w:t>xxxxxxx</w:t>
      </w:r>
      <w:bookmarkEnd w:id="6"/>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7" w:name="anio1"/>
      <w:r w:rsidRPr="00D3506E">
        <w:rPr>
          <w:rFonts w:ascii="Arial" w:hAnsi="Arial" w:cs="Arial"/>
          <w:b/>
          <w:sz w:val="24"/>
          <w:szCs w:val="24"/>
        </w:rPr>
        <w:t>xxxxx</w:t>
      </w:r>
      <w:bookmarkEnd w:id="7"/>
    </w:p>
    <w:p w:rsidR="00BE0548" w:rsidRDefault="00BE0548" w:rsidP="00855A3B">
      <w:pPr>
        <w:spacing w:after="0" w:line="240" w:lineRule="auto"/>
      </w:pPr>
    </w:p>
    <w:p w:rsidR="00BE0548" w:rsidRDefault="00BE0548" w:rsidP="00855A3B">
      <w:pPr>
        <w:spacing w:after="0"/>
        <w:sectPr w:rsidR="00BE0548" w:rsidSect="002E3169">
          <w:type w:val="continuous"/>
          <w:pgSz w:w="12240" w:h="15840" w:code="1"/>
          <w:pgMar w:top="2268" w:right="1418" w:bottom="2268" w:left="1418" w:header="0" w:footer="0" w:gutter="0"/>
          <w:cols w:space="708"/>
          <w:docGrid w:linePitch="360"/>
        </w:sectPr>
      </w:pPr>
    </w:p>
    <w:p w:rsidR="00BE0548" w:rsidRDefault="00D86C19" w:rsidP="007E0C89">
      <w:pPr>
        <w:spacing w:after="0"/>
      </w:pPr>
      <w:bookmarkStart w:id="8" w:name="gdocs_firma"/>
      <w:r>
        <w:rPr>
          <w:rFonts w:cs="Arial"/>
          <w:noProof/>
          <w:lang w:val="es-CO" w:eastAsia="es-CO"/>
        </w:rPr>
        <w:drawing>
          <wp:inline distT="0" distB="0" distL="0" distR="0">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8"/>
    </w:p>
    <w:p w:rsidR="00BE0548" w:rsidRDefault="00D86C19" w:rsidP="007E0C89">
      <w:pPr>
        <w:spacing w:after="0" w:line="240" w:lineRule="auto"/>
        <w:rPr>
          <w:rFonts w:ascii="Arial" w:hAnsi="Arial" w:cs="Arial"/>
          <w:b/>
        </w:rPr>
      </w:pPr>
      <w:bookmarkStart w:id="9" w:name="gdocs_nomfir"/>
      <w:r w:rsidRPr="00521220">
        <w:rPr>
          <w:rFonts w:ascii="Arial" w:hAnsi="Arial" w:cs="Arial"/>
          <w:b/>
        </w:rPr>
        <w:t>NOMBRE DEL REMITENTE</w:t>
      </w:r>
      <w:bookmarkEnd w:id="9"/>
    </w:p>
    <w:p w:rsidR="00BE0548" w:rsidRDefault="00D86C19" w:rsidP="007E0C89">
      <w:pPr>
        <w:spacing w:after="0" w:line="240" w:lineRule="auto"/>
        <w:rPr>
          <w:rFonts w:ascii="Arial" w:hAnsi="Arial" w:cs="Arial"/>
          <w:b/>
        </w:rPr>
      </w:pPr>
      <w:bookmarkStart w:id="10" w:name="dependencia"/>
      <w:r w:rsidRPr="00521220">
        <w:rPr>
          <w:rFonts w:ascii="Arial" w:hAnsi="Arial" w:cs="Arial"/>
          <w:b/>
        </w:rPr>
        <w:t>DEPENDENCIA</w:t>
      </w:r>
      <w:bookmarkEnd w:id="10"/>
    </w:p>
    <w:p w:rsidR="00BE0548" w:rsidRDefault="00BE0548" w:rsidP="007E0C89">
      <w:pPr>
        <w:spacing w:after="0" w:line="240" w:lineRule="auto"/>
        <w:rPr>
          <w:rFonts w:ascii="Arial" w:hAnsi="Arial" w:cs="Arial"/>
          <w:b/>
        </w:rPr>
        <w:sectPr w:rsidR="00BE0548" w:rsidSect="002E3169">
          <w:type w:val="continuous"/>
          <w:pgSz w:w="12240" w:h="15840" w:code="1"/>
          <w:pgMar w:top="2268" w:right="1418" w:bottom="2268" w:left="1418" w:header="0" w:footer="0" w:gutter="0"/>
          <w:cols w:space="708"/>
          <w:docGrid w:linePitch="360"/>
        </w:sectPr>
      </w:pPr>
    </w:p>
    <w:p w:rsidR="00BE0548" w:rsidRDefault="00BE0548" w:rsidP="00151297">
      <w:pPr>
        <w:spacing w:after="0" w:line="240" w:lineRule="auto"/>
        <w:rPr>
          <w:rFonts w:ascii="Arial" w:hAnsi="Arial" w:cs="Arial"/>
          <w:i/>
          <w:sz w:val="16"/>
          <w:szCs w:val="16"/>
        </w:rPr>
      </w:pPr>
    </w:p>
    <w:p w:rsidR="00376DB7" w:rsidRPr="00376DB7" w:rsidRDefault="00376DB7" w:rsidP="00376DB7">
      <w:pPr>
        <w:spacing w:after="0" w:line="240" w:lineRule="auto"/>
        <w:rPr>
          <w:rFonts w:ascii="Arial" w:hAnsi="Arial" w:cs="Arial"/>
          <w:b/>
          <w:i/>
          <w:sz w:val="16"/>
          <w:szCs w:val="16"/>
        </w:rPr>
        <w:sectPr w:rsidR="00376DB7" w:rsidRPr="00376DB7" w:rsidSect="002E3169">
          <w:type w:val="continuous"/>
          <w:pgSz w:w="12240" w:h="15840" w:code="1"/>
          <w:pgMar w:top="2268" w:right="1418" w:bottom="2268" w:left="1418" w:header="0" w:footer="0" w:gutter="0"/>
          <w:cols w:space="708"/>
          <w:formProt w:val="0"/>
          <w:docGrid w:linePitch="360"/>
        </w:sectPr>
      </w:pPr>
      <w:r w:rsidRPr="00376DB7">
        <w:rPr>
          <w:rFonts w:ascii="Arial" w:hAnsi="Arial" w:cs="Arial"/>
          <w:i/>
          <w:sz w:val="16"/>
          <w:szCs w:val="16"/>
        </w:rPr>
        <w:t xml:space="preserve">EXPEDIENTE </w:t>
      </w:r>
      <w:r w:rsidRPr="00376DB7">
        <w:rPr>
          <w:rFonts w:ascii="Arial" w:hAnsi="Arial" w:cs="Arial"/>
          <w:b/>
          <w:i/>
          <w:sz w:val="16"/>
          <w:szCs w:val="16"/>
        </w:rPr>
        <w:t>SDA-03-2025-216</w:t>
      </w:r>
      <w:r w:rsidR="00DF057A">
        <w:rPr>
          <w:rFonts w:ascii="Arial" w:hAnsi="Arial" w:cs="Arial"/>
          <w:b/>
          <w:i/>
          <w:sz w:val="16"/>
          <w:szCs w:val="16"/>
        </w:rPr>
        <w:t>6</w:t>
      </w:r>
    </w:p>
    <w:p w:rsidR="00BE0548" w:rsidRDefault="00BE0548" w:rsidP="00151297">
      <w:pPr>
        <w:spacing w:after="0" w:line="240" w:lineRule="auto"/>
        <w:rPr>
          <w:rFonts w:ascii="Arial" w:hAnsi="Arial" w:cs="Arial"/>
          <w:i/>
          <w:sz w:val="16"/>
          <w:szCs w:val="16"/>
        </w:rPr>
      </w:pPr>
    </w:p>
    <w:p w:rsidR="00BE0548" w:rsidRDefault="00BE0548" w:rsidP="00151297">
      <w:pPr>
        <w:spacing w:after="0" w:line="240" w:lineRule="auto"/>
        <w:rPr>
          <w:rFonts w:ascii="Arial" w:hAnsi="Arial" w:cs="Arial"/>
          <w:b/>
        </w:rPr>
        <w:sectPr w:rsidR="00BE0548" w:rsidSect="002E3169">
          <w:type w:val="continuous"/>
          <w:pgSz w:w="12240" w:h="15840" w:code="1"/>
          <w:pgMar w:top="2268" w:right="1418" w:bottom="2268" w:left="1418" w:header="0" w:footer="0" w:gutter="0"/>
          <w:cols w:space="708"/>
          <w:formProt w:val="0"/>
          <w:docGrid w:linePitch="360"/>
        </w:sectPr>
      </w:pPr>
    </w:p>
    <w:p w:rsidR="00BE0548" w:rsidRPr="00091096" w:rsidRDefault="00D86C19" w:rsidP="000F3F6D">
      <w:pPr>
        <w:spacing w:after="0" w:line="240" w:lineRule="auto"/>
        <w:rPr>
          <w:rFonts w:ascii="Arial" w:hAnsi="Arial" w:cs="Arial"/>
          <w:sz w:val="20"/>
          <w:szCs w:val="20"/>
        </w:rPr>
        <w:sectPr w:rsidR="00BE0548" w:rsidRPr="00091096" w:rsidSect="002E3169">
          <w:type w:val="continuous"/>
          <w:pgSz w:w="12240" w:h="15840" w:code="1"/>
          <w:pgMar w:top="2268" w:right="1418" w:bottom="2268" w:left="1418" w:header="0" w:footer="0" w:gutter="0"/>
          <w:cols w:space="708"/>
          <w:docGrid w:linePitch="360"/>
        </w:sectPr>
      </w:pPr>
      <w:bookmarkStart w:id="11" w:name="word_reporte"/>
      <w:r>
        <w:rPr>
          <w:rFonts w:ascii="Arial" w:hAnsi="Arial" w:cs="Arial"/>
          <w:sz w:val="20"/>
          <w:szCs w:val="20"/>
        </w:rPr>
        <w:t xml:space="preserve"> </w:t>
      </w:r>
      <w:bookmarkEnd w:id="11"/>
    </w:p>
    <w:p w:rsidR="00BE0548" w:rsidRPr="00A77307" w:rsidRDefault="00BE0548" w:rsidP="000F3F6D">
      <w:pPr>
        <w:spacing w:after="0" w:line="240" w:lineRule="auto"/>
        <w:rPr>
          <w:rFonts w:ascii="Arial" w:hAnsi="Arial" w:cs="Arial"/>
        </w:rPr>
      </w:pPr>
    </w:p>
    <w:sectPr w:rsidR="00BE0548"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8670E" w:rsidRDefault="0098670E">
      <w:pPr>
        <w:spacing w:after="0" w:line="240" w:lineRule="auto"/>
      </w:pPr>
      <w:r>
        <w:separator/>
      </w:r>
    </w:p>
  </w:endnote>
  <w:endnote w:type="continuationSeparator" w:id="0">
    <w:p w:rsidR="0098670E" w:rsidRDefault="009867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E0548" w:rsidRDefault="00D86C19">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rsidR="00BE0548" w:rsidRDefault="00BE0548"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BE0548">
      <w:trPr>
        <w:trHeight w:val="1320"/>
      </w:trPr>
      <w:tc>
        <w:tcPr>
          <w:tcW w:w="4824" w:type="dxa"/>
          <w:tcMar>
            <w:top w:w="0" w:type="dxa"/>
            <w:left w:w="0" w:type="dxa"/>
            <w:bottom w:w="0" w:type="dxa"/>
            <w:right w:w="0" w:type="dxa"/>
          </w:tcMar>
          <w:vAlign w:val="center"/>
        </w:tcPr>
        <w:p w:rsidR="00BE0548" w:rsidRDefault="00376DB7">
          <w:pPr>
            <w:pStyle w:val="Normal0"/>
          </w:pPr>
          <w:r>
            <w:rPr>
              <w:noProof/>
            </w:rPr>
            <w:drawing>
              <wp:inline distT="0" distB="0" distL="0" distR="0">
                <wp:extent cx="1924050" cy="735965"/>
                <wp:effectExtent l="0" t="0" r="0" b="698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73596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rsidR="00BE0548" w:rsidRDefault="00376DB7">
          <w:pPr>
            <w:pStyle w:val="Normal0"/>
            <w:jc w:val="right"/>
          </w:pPr>
          <w:r>
            <w:rPr>
              <w:noProof/>
            </w:rPr>
            <w:drawing>
              <wp:inline distT="0" distB="0" distL="0" distR="0">
                <wp:extent cx="1579245" cy="807720"/>
                <wp:effectExtent l="0" t="0" r="1905" b="0"/>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9245" cy="807720"/>
                        </a:xfrm>
                        <a:prstGeom prst="rect">
                          <a:avLst/>
                        </a:prstGeom>
                        <a:noFill/>
                        <a:ln>
                          <a:noFill/>
                        </a:ln>
                      </pic:spPr>
                    </pic:pic>
                  </a:graphicData>
                </a:graphic>
              </wp:inline>
            </w:drawing>
          </w:r>
        </w:p>
      </w:tc>
    </w:tr>
    <w:bookmarkEnd w:id="3"/>
  </w:tbl>
  <w:p w:rsidR="00BE0548" w:rsidRDefault="00BE05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8670E" w:rsidRDefault="0098670E">
      <w:pPr>
        <w:spacing w:after="0" w:line="240" w:lineRule="auto"/>
      </w:pPr>
      <w:r>
        <w:separator/>
      </w:r>
    </w:p>
  </w:footnote>
  <w:footnote w:type="continuationSeparator" w:id="0">
    <w:p w:rsidR="0098670E" w:rsidRDefault="009867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E0548" w:rsidRDefault="00BE0548"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BE0548">
      <w:tc>
        <w:tcPr>
          <w:tcW w:w="9406" w:type="dxa"/>
          <w:tcMar>
            <w:top w:w="160" w:type="dxa"/>
            <w:left w:w="0" w:type="dxa"/>
            <w:bottom w:w="0" w:type="dxa"/>
            <w:right w:w="0" w:type="dxa"/>
          </w:tcMar>
        </w:tcPr>
        <w:p w:rsidR="00BE0548" w:rsidRDefault="00376DB7">
          <w:pPr>
            <w:pStyle w:val="Normal1"/>
            <w:jc w:val="center"/>
          </w:pPr>
          <w:r>
            <w:rPr>
              <w:noProof/>
            </w:rPr>
            <w:drawing>
              <wp:inline distT="0" distB="0" distL="0" distR="0">
                <wp:extent cx="2482215" cy="760095"/>
                <wp:effectExtent l="0" t="0" r="0" b="1905"/>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2215" cy="760095"/>
                        </a:xfrm>
                        <a:prstGeom prst="rect">
                          <a:avLst/>
                        </a:prstGeom>
                        <a:noFill/>
                        <a:ln>
                          <a:noFill/>
                        </a:ln>
                      </pic:spPr>
                    </pic:pic>
                  </a:graphicData>
                </a:graphic>
              </wp:inline>
            </w:drawing>
          </w:r>
        </w:p>
      </w:tc>
    </w:tr>
    <w:bookmarkEnd w:id="0"/>
  </w:tbl>
  <w:p w:rsidR="00BE0548" w:rsidRDefault="00BE0548"/>
  <w:p w:rsidR="00BE0548" w:rsidRDefault="00BE0548" w:rsidP="00151297">
    <w:pPr>
      <w:pStyle w:val="Encabezado"/>
      <w:jc w:val="center"/>
      <w:rPr>
        <w:noProof/>
        <w:lang w:eastAsia="es-CO"/>
      </w:rPr>
    </w:pPr>
  </w:p>
  <w:p w:rsidR="00BE0548" w:rsidRDefault="00D86C19"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A2E04B3"/>
    <w:multiLevelType w:val="hybridMultilevel"/>
    <w:tmpl w:val="5D2E0C76"/>
    <w:lvl w:ilvl="0" w:tplc="E6CA7080">
      <w:numFmt w:val="bullet"/>
      <w:lvlText w:val="-"/>
      <w:lvlJc w:val="left"/>
      <w:pPr>
        <w:ind w:left="720" w:hanging="360"/>
      </w:pPr>
      <w:rPr>
        <w:rFonts w:ascii="Arial" w:eastAsia="Calibri" w:hAnsi="Arial" w:cs="Arial" w:hint="default"/>
      </w:rPr>
    </w:lvl>
    <w:lvl w:ilvl="1" w:tplc="6A98BEF8">
      <w:start w:val="1"/>
      <w:numFmt w:val="bullet"/>
      <w:lvlText w:val="o"/>
      <w:lvlJc w:val="left"/>
      <w:pPr>
        <w:ind w:left="1440" w:hanging="360"/>
      </w:pPr>
      <w:rPr>
        <w:rFonts w:ascii="Courier New" w:hAnsi="Courier New" w:cs="Courier New" w:hint="default"/>
      </w:rPr>
    </w:lvl>
    <w:lvl w:ilvl="2" w:tplc="BE741692">
      <w:start w:val="1"/>
      <w:numFmt w:val="bullet"/>
      <w:lvlText w:val=""/>
      <w:lvlJc w:val="left"/>
      <w:pPr>
        <w:ind w:left="2160" w:hanging="360"/>
      </w:pPr>
      <w:rPr>
        <w:rFonts w:ascii="Wingdings" w:hAnsi="Wingdings" w:hint="default"/>
      </w:rPr>
    </w:lvl>
    <w:lvl w:ilvl="3" w:tplc="68842C44">
      <w:start w:val="1"/>
      <w:numFmt w:val="bullet"/>
      <w:lvlText w:val=""/>
      <w:lvlJc w:val="left"/>
      <w:pPr>
        <w:ind w:left="2880" w:hanging="360"/>
      </w:pPr>
      <w:rPr>
        <w:rFonts w:ascii="Symbol" w:hAnsi="Symbol" w:hint="default"/>
      </w:rPr>
    </w:lvl>
    <w:lvl w:ilvl="4" w:tplc="AEDEF06C">
      <w:start w:val="1"/>
      <w:numFmt w:val="bullet"/>
      <w:lvlText w:val="o"/>
      <w:lvlJc w:val="left"/>
      <w:pPr>
        <w:ind w:left="3600" w:hanging="360"/>
      </w:pPr>
      <w:rPr>
        <w:rFonts w:ascii="Courier New" w:hAnsi="Courier New" w:cs="Courier New" w:hint="default"/>
      </w:rPr>
    </w:lvl>
    <w:lvl w:ilvl="5" w:tplc="ECCAB6BA">
      <w:start w:val="1"/>
      <w:numFmt w:val="bullet"/>
      <w:lvlText w:val=""/>
      <w:lvlJc w:val="left"/>
      <w:pPr>
        <w:ind w:left="4320" w:hanging="360"/>
      </w:pPr>
      <w:rPr>
        <w:rFonts w:ascii="Wingdings" w:hAnsi="Wingdings" w:hint="default"/>
      </w:rPr>
    </w:lvl>
    <w:lvl w:ilvl="6" w:tplc="7D409046">
      <w:start w:val="1"/>
      <w:numFmt w:val="bullet"/>
      <w:lvlText w:val=""/>
      <w:lvlJc w:val="left"/>
      <w:pPr>
        <w:ind w:left="5040" w:hanging="360"/>
      </w:pPr>
      <w:rPr>
        <w:rFonts w:ascii="Symbol" w:hAnsi="Symbol" w:hint="default"/>
      </w:rPr>
    </w:lvl>
    <w:lvl w:ilvl="7" w:tplc="5CFCB3DA">
      <w:start w:val="1"/>
      <w:numFmt w:val="bullet"/>
      <w:lvlText w:val="o"/>
      <w:lvlJc w:val="left"/>
      <w:pPr>
        <w:ind w:left="5760" w:hanging="360"/>
      </w:pPr>
      <w:rPr>
        <w:rFonts w:ascii="Courier New" w:hAnsi="Courier New" w:cs="Courier New" w:hint="default"/>
      </w:rPr>
    </w:lvl>
    <w:lvl w:ilvl="8" w:tplc="31BA38D0">
      <w:start w:val="1"/>
      <w:numFmt w:val="bullet"/>
      <w:lvlText w:val=""/>
      <w:lvlJc w:val="left"/>
      <w:pPr>
        <w:ind w:left="6480" w:hanging="360"/>
      </w:pPr>
      <w:rPr>
        <w:rFonts w:ascii="Wingdings" w:hAnsi="Wingdings" w:hint="default"/>
      </w:rPr>
    </w:lvl>
  </w:abstractNum>
  <w:num w:numId="1">
    <w:abstractNumId w:val="0"/>
  </w:num>
  <w:num w:numId="2">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cumentProtection w:edit="forms" w:enforcement="1" w:cryptProviderType="rsaAES" w:cryptAlgorithmClass="hash" w:cryptAlgorithmType="typeAny" w:cryptAlgorithmSid="14" w:cryptSpinCount="100000" w:hash="vG/NblQDX1eiGs+LPpKqRsMNqfSk6VHzMgBxJMXpd2zTbmRdiz4QHJmwUiK2Aa/e9Bb0XGtg/IRV8mjVeKG2Kw==" w:salt="KvlRuKpy+pShb+4RIRMJ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E18"/>
    <w:rsid w:val="00091096"/>
    <w:rsid w:val="000F3F6D"/>
    <w:rsid w:val="00151297"/>
    <w:rsid w:val="00224E94"/>
    <w:rsid w:val="00352C46"/>
    <w:rsid w:val="00376DB7"/>
    <w:rsid w:val="004404A5"/>
    <w:rsid w:val="0044323F"/>
    <w:rsid w:val="00445B5A"/>
    <w:rsid w:val="00454FDF"/>
    <w:rsid w:val="004759C4"/>
    <w:rsid w:val="004A586C"/>
    <w:rsid w:val="00521220"/>
    <w:rsid w:val="005664F0"/>
    <w:rsid w:val="00645AEC"/>
    <w:rsid w:val="006B3E72"/>
    <w:rsid w:val="00721654"/>
    <w:rsid w:val="0077750E"/>
    <w:rsid w:val="007B56D3"/>
    <w:rsid w:val="007E0C89"/>
    <w:rsid w:val="00855A3B"/>
    <w:rsid w:val="00960107"/>
    <w:rsid w:val="0098670E"/>
    <w:rsid w:val="009F1422"/>
    <w:rsid w:val="00A676A4"/>
    <w:rsid w:val="00A77307"/>
    <w:rsid w:val="00AC67B2"/>
    <w:rsid w:val="00BE0548"/>
    <w:rsid w:val="00C7196B"/>
    <w:rsid w:val="00D3506E"/>
    <w:rsid w:val="00D86C19"/>
    <w:rsid w:val="00DF057A"/>
    <w:rsid w:val="00E71E18"/>
    <w:rsid w:val="00E9409E"/>
    <w:rsid w:val="00F53DF0"/>
    <w:rsid w:val="00FA2DB8"/>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469E7E"/>
  <w15:docId w15:val="{96A69C72-2641-47BF-AD69-98C455669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styleId="Hipervnculo">
    <w:name w:val="Hyperlink"/>
    <w:basedOn w:val="Fuentedeprrafopredeter"/>
    <w:uiPriority w:val="99"/>
    <w:unhideWhenUsed/>
    <w:rsid w:val="00376DB7"/>
    <w:rPr>
      <w:color w:val="0563C1" w:themeColor="hyperlink"/>
      <w:u w:val="single"/>
    </w:rPr>
  </w:style>
  <w:style w:type="paragraph" w:styleId="Prrafodelista">
    <w:name w:val="List Paragraph"/>
    <w:basedOn w:val="Normal"/>
    <w:uiPriority w:val="34"/>
    <w:qFormat/>
    <w:rsid w:val="00224E94"/>
    <w:pPr>
      <w:ind w:left="720"/>
      <w:contextualSpacing/>
    </w:pPr>
  </w:style>
  <w:style w:type="table" w:styleId="Tablaconcuadrcula">
    <w:name w:val="Table Grid"/>
    <w:basedOn w:val="Tablanormal"/>
    <w:uiPriority w:val="59"/>
    <w:rsid w:val="00224E94"/>
    <w:rPr>
      <w:lang w:val="es-CO" w:eastAsia="es-C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rsid w:val="00DF05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2081">
      <w:bodyDiv w:val="1"/>
      <w:marLeft w:val="0"/>
      <w:marRight w:val="0"/>
      <w:marTop w:val="0"/>
      <w:marBottom w:val="0"/>
      <w:divBdr>
        <w:top w:val="none" w:sz="0" w:space="0" w:color="auto"/>
        <w:left w:val="none" w:sz="0" w:space="0" w:color="auto"/>
        <w:bottom w:val="none" w:sz="0" w:space="0" w:color="auto"/>
        <w:right w:val="none" w:sz="0" w:space="0" w:color="auto"/>
      </w:divBdr>
    </w:div>
    <w:div w:id="273825615">
      <w:bodyDiv w:val="1"/>
      <w:marLeft w:val="0"/>
      <w:marRight w:val="0"/>
      <w:marTop w:val="0"/>
      <w:marBottom w:val="0"/>
      <w:divBdr>
        <w:top w:val="none" w:sz="0" w:space="0" w:color="auto"/>
        <w:left w:val="none" w:sz="0" w:space="0" w:color="auto"/>
        <w:bottom w:val="none" w:sz="0" w:space="0" w:color="auto"/>
        <w:right w:val="none" w:sz="0" w:space="0" w:color="auto"/>
      </w:divBdr>
    </w:div>
    <w:div w:id="407701614">
      <w:bodyDiv w:val="1"/>
      <w:marLeft w:val="0"/>
      <w:marRight w:val="0"/>
      <w:marTop w:val="0"/>
      <w:marBottom w:val="0"/>
      <w:divBdr>
        <w:top w:val="none" w:sz="0" w:space="0" w:color="auto"/>
        <w:left w:val="none" w:sz="0" w:space="0" w:color="auto"/>
        <w:bottom w:val="none" w:sz="0" w:space="0" w:color="auto"/>
        <w:right w:val="none" w:sz="0" w:space="0" w:color="auto"/>
      </w:divBdr>
    </w:div>
    <w:div w:id="834421409">
      <w:bodyDiv w:val="1"/>
      <w:marLeft w:val="0"/>
      <w:marRight w:val="0"/>
      <w:marTop w:val="0"/>
      <w:marBottom w:val="0"/>
      <w:divBdr>
        <w:top w:val="none" w:sz="0" w:space="0" w:color="auto"/>
        <w:left w:val="none" w:sz="0" w:space="0" w:color="auto"/>
        <w:bottom w:val="none" w:sz="0" w:space="0" w:color="auto"/>
        <w:right w:val="none" w:sz="0" w:space="0" w:color="auto"/>
      </w:divBdr>
    </w:div>
    <w:div w:id="922764689">
      <w:bodyDiv w:val="1"/>
      <w:marLeft w:val="0"/>
      <w:marRight w:val="0"/>
      <w:marTop w:val="0"/>
      <w:marBottom w:val="0"/>
      <w:divBdr>
        <w:top w:val="none" w:sz="0" w:space="0" w:color="auto"/>
        <w:left w:val="none" w:sz="0" w:space="0" w:color="auto"/>
        <w:bottom w:val="none" w:sz="0" w:space="0" w:color="auto"/>
        <w:right w:val="none" w:sz="0" w:space="0" w:color="auto"/>
      </w:divBdr>
    </w:div>
    <w:div w:id="1041519305">
      <w:bodyDiv w:val="1"/>
      <w:marLeft w:val="0"/>
      <w:marRight w:val="0"/>
      <w:marTop w:val="0"/>
      <w:marBottom w:val="0"/>
      <w:divBdr>
        <w:top w:val="none" w:sz="0" w:space="0" w:color="auto"/>
        <w:left w:val="none" w:sz="0" w:space="0" w:color="auto"/>
        <w:bottom w:val="none" w:sz="0" w:space="0" w:color="auto"/>
        <w:right w:val="none" w:sz="0" w:space="0" w:color="auto"/>
      </w:divBdr>
    </w:div>
    <w:div w:id="1276597984">
      <w:bodyDiv w:val="1"/>
      <w:marLeft w:val="0"/>
      <w:marRight w:val="0"/>
      <w:marTop w:val="0"/>
      <w:marBottom w:val="0"/>
      <w:divBdr>
        <w:top w:val="none" w:sz="0" w:space="0" w:color="auto"/>
        <w:left w:val="none" w:sz="0" w:space="0" w:color="auto"/>
        <w:bottom w:val="none" w:sz="0" w:space="0" w:color="auto"/>
        <w:right w:val="none" w:sz="0" w:space="0" w:color="auto"/>
      </w:divBdr>
    </w:div>
    <w:div w:id="1344160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6</Pages>
  <Words>2082</Words>
  <Characters>11451</Characters>
  <Application>Microsoft Office Word</Application>
  <DocSecurity>0</DocSecurity>
  <Lines>95</Lines>
  <Paragraphs>27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Diana Yadira Garcia Rozo</cp:lastModifiedBy>
  <cp:revision>11</cp:revision>
  <dcterms:created xsi:type="dcterms:W3CDTF">2025-10-02T22:20:00Z</dcterms:created>
  <dcterms:modified xsi:type="dcterms:W3CDTF">2025-11-30T20:19:00Z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1756849503025</vt:lpwstr>
  </property>
</Properties>
</file>